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85F7" w14:textId="77777777" w:rsidR="003B0837" w:rsidRPr="006F7C2B" w:rsidRDefault="003B0837">
      <w:pPr>
        <w:rPr>
          <w:rFonts w:ascii="ＭＳ ゴシック" w:eastAsia="ＭＳ ゴシック" w:hAnsi="ＭＳ ゴシック"/>
        </w:rPr>
      </w:pPr>
      <w:r w:rsidRPr="006F7C2B">
        <w:rPr>
          <w:rFonts w:ascii="ＭＳ ゴシック" w:eastAsia="ＭＳ ゴシック" w:hAnsi="ＭＳ ゴシック" w:hint="eastAsia"/>
        </w:rPr>
        <w:t>『</w:t>
      </w:r>
      <w:r w:rsidR="001504A7" w:rsidRPr="006F7C2B">
        <w:rPr>
          <w:rFonts w:ascii="ＭＳ ゴシック" w:eastAsia="ＭＳ ゴシック" w:hAnsi="ＭＳ ゴシック" w:hint="eastAsia"/>
        </w:rPr>
        <w:t>レボカバスチン</w:t>
      </w:r>
      <w:r w:rsidRPr="006F7C2B">
        <w:rPr>
          <w:rFonts w:ascii="ＭＳ ゴシック" w:eastAsia="ＭＳ ゴシック" w:hAnsi="ＭＳ ゴシック" w:hint="eastAsia"/>
        </w:rPr>
        <w:t>点眼液0.025％｢TS」』の先発医薬品との比較</w:t>
      </w:r>
    </w:p>
    <w:tbl>
      <w:tblPr>
        <w:tblW w:w="10236" w:type="dxa"/>
        <w:tblInd w:w="94" w:type="dxa"/>
        <w:tblCellMar>
          <w:left w:w="99" w:type="dxa"/>
          <w:right w:w="99" w:type="dxa"/>
        </w:tblCellMar>
        <w:tblLook w:val="0000" w:firstRow="0" w:lastRow="0" w:firstColumn="0" w:lastColumn="0" w:noHBand="0" w:noVBand="0"/>
      </w:tblPr>
      <w:tblGrid>
        <w:gridCol w:w="1205"/>
        <w:gridCol w:w="1000"/>
        <w:gridCol w:w="645"/>
        <w:gridCol w:w="3390"/>
        <w:gridCol w:w="1011"/>
        <w:gridCol w:w="211"/>
        <w:gridCol w:w="284"/>
        <w:gridCol w:w="1989"/>
        <w:gridCol w:w="430"/>
        <w:gridCol w:w="71"/>
      </w:tblGrid>
      <w:tr w:rsidR="003B0837" w:rsidRPr="00545513" w14:paraId="3A098E45" w14:textId="77777777" w:rsidTr="007C4D1A">
        <w:trPr>
          <w:trHeight w:val="15"/>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0A2166"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一般名</w:t>
            </w:r>
          </w:p>
        </w:tc>
        <w:tc>
          <w:tcPr>
            <w:tcW w:w="8031" w:type="dxa"/>
            <w:gridSpan w:val="8"/>
            <w:tcBorders>
              <w:top w:val="single" w:sz="4" w:space="0" w:color="auto"/>
              <w:left w:val="nil"/>
              <w:bottom w:val="single" w:sz="4" w:space="0" w:color="auto"/>
              <w:right w:val="single" w:sz="4" w:space="0" w:color="000000"/>
            </w:tcBorders>
            <w:shd w:val="clear" w:color="auto" w:fill="auto"/>
            <w:vAlign w:val="center"/>
          </w:tcPr>
          <w:p w14:paraId="77B01B05" w14:textId="77777777" w:rsidR="003B0837" w:rsidRPr="007F2F1E" w:rsidRDefault="003B0837">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レボカバスチン塩酸塩</w:t>
            </w:r>
          </w:p>
        </w:tc>
      </w:tr>
      <w:tr w:rsidR="003B0837" w:rsidRPr="00545513" w14:paraId="4C6C3B23" w14:textId="77777777" w:rsidTr="007C4D1A">
        <w:trPr>
          <w:trHeight w:val="15"/>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D0FB5D"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薬効分類名</w:t>
            </w:r>
          </w:p>
        </w:tc>
        <w:tc>
          <w:tcPr>
            <w:tcW w:w="8031" w:type="dxa"/>
            <w:gridSpan w:val="8"/>
            <w:tcBorders>
              <w:top w:val="single" w:sz="4" w:space="0" w:color="auto"/>
              <w:left w:val="nil"/>
              <w:bottom w:val="single" w:sz="4" w:space="0" w:color="auto"/>
              <w:right w:val="single" w:sz="4" w:space="0" w:color="000000"/>
            </w:tcBorders>
            <w:shd w:val="clear" w:color="auto" w:fill="auto"/>
            <w:vAlign w:val="center"/>
          </w:tcPr>
          <w:p w14:paraId="4A4822CF" w14:textId="77777777" w:rsidR="003B0837" w:rsidRPr="007F2F1E" w:rsidRDefault="003B0837">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H</w:t>
            </w:r>
            <w:r w:rsidRPr="007F2F1E">
              <w:rPr>
                <w:rFonts w:ascii="ＭＳ Ｐゴシック" w:eastAsia="ＭＳ Ｐゴシック" w:hAnsi="ＭＳ Ｐゴシック" w:cs="ＭＳ Ｐゴシック" w:hint="eastAsia"/>
                <w:kern w:val="0"/>
                <w:sz w:val="18"/>
                <w:szCs w:val="18"/>
                <w:vertAlign w:val="subscript"/>
              </w:rPr>
              <w:t>1</w:t>
            </w:r>
            <w:r w:rsidRPr="007F2F1E">
              <w:rPr>
                <w:rFonts w:ascii="ＭＳ Ｐゴシック" w:eastAsia="ＭＳ Ｐゴシック" w:hAnsi="ＭＳ Ｐゴシック" w:cs="ＭＳ Ｐゴシック" w:hint="eastAsia"/>
                <w:kern w:val="0"/>
                <w:sz w:val="18"/>
                <w:szCs w:val="18"/>
              </w:rPr>
              <w:t>ブロッカー点眼剤</w:t>
            </w:r>
          </w:p>
        </w:tc>
      </w:tr>
      <w:tr w:rsidR="003B0837" w:rsidRPr="00545513" w14:paraId="3870EE8C" w14:textId="77777777" w:rsidTr="007C4D1A">
        <w:trPr>
          <w:trHeight w:val="15"/>
        </w:trPr>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582AE" w14:textId="7E52E575" w:rsidR="003B0837" w:rsidRPr="00DD7B58" w:rsidRDefault="00E94FEF">
            <w:pPr>
              <w:widowControl/>
              <w:spacing w:line="3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有効成分</w:t>
            </w:r>
          </w:p>
        </w:tc>
        <w:tc>
          <w:tcPr>
            <w:tcW w:w="8031" w:type="dxa"/>
            <w:gridSpan w:val="8"/>
            <w:tcBorders>
              <w:top w:val="single" w:sz="4" w:space="0" w:color="auto"/>
              <w:left w:val="nil"/>
              <w:bottom w:val="single" w:sz="4" w:space="0" w:color="auto"/>
              <w:right w:val="single" w:sz="4" w:space="0" w:color="000000"/>
            </w:tcBorders>
            <w:shd w:val="clear" w:color="auto" w:fill="auto"/>
            <w:vAlign w:val="center"/>
          </w:tcPr>
          <w:p w14:paraId="0D134CAB" w14:textId="6EA1B289" w:rsidR="003B0837" w:rsidRPr="007F2F1E" w:rsidRDefault="00E94FEF" w:rsidP="00E94FEF">
            <w:pPr>
              <w:widowControl/>
              <w:spacing w:line="360" w:lineRule="exact"/>
              <w:jc w:val="center"/>
              <w:rPr>
                <w:rFonts w:ascii="ＭＳ Ｐゴシック" w:eastAsia="ＭＳ Ｐゴシック" w:hAnsi="ＭＳ Ｐゴシック" w:cs="ＭＳ Ｐゴシック"/>
                <w:kern w:val="0"/>
                <w:sz w:val="18"/>
                <w:szCs w:val="18"/>
              </w:rPr>
            </w:pPr>
            <w:r w:rsidRPr="00E94FEF">
              <w:rPr>
                <w:rFonts w:ascii="ＭＳ Ｐゴシック" w:eastAsia="ＭＳ Ｐゴシック" w:hAnsi="ＭＳ Ｐゴシック" w:cs="ＭＳ Ｐゴシック" w:hint="eastAsia"/>
                <w:kern w:val="0"/>
                <w:sz w:val="18"/>
                <w:szCs w:val="18"/>
              </w:rPr>
              <w:t>1mL中レボカバスチン塩酸塩0.27mg（レボカバスチンとして0.25mg）</w:t>
            </w:r>
          </w:p>
        </w:tc>
      </w:tr>
      <w:tr w:rsidR="003B0837" w:rsidRPr="00545513" w14:paraId="64D3FBBA" w14:textId="77777777" w:rsidTr="007C4D1A">
        <w:trPr>
          <w:gridAfter w:val="1"/>
          <w:wAfter w:w="71" w:type="dxa"/>
          <w:trHeight w:val="15"/>
        </w:trPr>
        <w:tc>
          <w:tcPr>
            <w:tcW w:w="1205" w:type="dxa"/>
            <w:tcBorders>
              <w:top w:val="nil"/>
              <w:left w:val="nil"/>
              <w:bottom w:val="nil"/>
              <w:right w:val="nil"/>
            </w:tcBorders>
            <w:shd w:val="clear" w:color="auto" w:fill="auto"/>
            <w:noWrap/>
            <w:vAlign w:val="center"/>
          </w:tcPr>
          <w:p w14:paraId="5F7C5410"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1000" w:type="dxa"/>
            <w:tcBorders>
              <w:top w:val="nil"/>
              <w:left w:val="nil"/>
              <w:bottom w:val="nil"/>
              <w:right w:val="nil"/>
            </w:tcBorders>
            <w:shd w:val="clear" w:color="auto" w:fill="auto"/>
            <w:noWrap/>
            <w:vAlign w:val="center"/>
          </w:tcPr>
          <w:p w14:paraId="3FB1D689"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645" w:type="dxa"/>
            <w:tcBorders>
              <w:top w:val="nil"/>
              <w:left w:val="nil"/>
              <w:bottom w:val="nil"/>
              <w:right w:val="nil"/>
            </w:tcBorders>
            <w:shd w:val="clear" w:color="auto" w:fill="auto"/>
            <w:noWrap/>
            <w:vAlign w:val="center"/>
          </w:tcPr>
          <w:p w14:paraId="24800EC0"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4401" w:type="dxa"/>
            <w:gridSpan w:val="2"/>
            <w:tcBorders>
              <w:top w:val="nil"/>
              <w:left w:val="nil"/>
              <w:bottom w:val="nil"/>
              <w:right w:val="nil"/>
            </w:tcBorders>
            <w:shd w:val="clear" w:color="auto" w:fill="auto"/>
            <w:noWrap/>
            <w:vAlign w:val="center"/>
          </w:tcPr>
          <w:p w14:paraId="5FC2B271"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11" w:type="dxa"/>
            <w:tcBorders>
              <w:top w:val="nil"/>
              <w:left w:val="nil"/>
              <w:bottom w:val="nil"/>
              <w:right w:val="nil"/>
            </w:tcBorders>
            <w:shd w:val="clear" w:color="auto" w:fill="auto"/>
            <w:vAlign w:val="center"/>
          </w:tcPr>
          <w:p w14:paraId="4B4478F5"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284" w:type="dxa"/>
            <w:tcBorders>
              <w:top w:val="nil"/>
              <w:left w:val="nil"/>
              <w:bottom w:val="nil"/>
              <w:right w:val="nil"/>
            </w:tcBorders>
            <w:shd w:val="clear" w:color="auto" w:fill="auto"/>
            <w:noWrap/>
            <w:vAlign w:val="center"/>
          </w:tcPr>
          <w:p w14:paraId="1CE13C07"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1989" w:type="dxa"/>
            <w:tcBorders>
              <w:top w:val="nil"/>
              <w:left w:val="nil"/>
              <w:bottom w:val="nil"/>
              <w:right w:val="nil"/>
            </w:tcBorders>
            <w:shd w:val="clear" w:color="auto" w:fill="auto"/>
            <w:noWrap/>
            <w:vAlign w:val="center"/>
          </w:tcPr>
          <w:p w14:paraId="07C89709"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c>
          <w:tcPr>
            <w:tcW w:w="430" w:type="dxa"/>
            <w:tcBorders>
              <w:top w:val="nil"/>
              <w:left w:val="nil"/>
              <w:bottom w:val="nil"/>
              <w:right w:val="nil"/>
            </w:tcBorders>
            <w:shd w:val="clear" w:color="auto" w:fill="auto"/>
            <w:noWrap/>
            <w:vAlign w:val="center"/>
          </w:tcPr>
          <w:p w14:paraId="3556FA7A" w14:textId="77777777" w:rsidR="003B0837" w:rsidRPr="00545513" w:rsidRDefault="003B0837">
            <w:pPr>
              <w:widowControl/>
              <w:spacing w:line="140" w:lineRule="exact"/>
              <w:jc w:val="center"/>
              <w:rPr>
                <w:rFonts w:ascii="ＭＳ Ｐゴシック" w:eastAsia="ＭＳ Ｐゴシック" w:hAnsi="ＭＳ Ｐゴシック" w:cs="ＭＳ Ｐゴシック"/>
                <w:kern w:val="0"/>
                <w:szCs w:val="21"/>
              </w:rPr>
            </w:pPr>
          </w:p>
        </w:tc>
      </w:tr>
      <w:tr w:rsidR="003B0837" w:rsidRPr="00545513" w14:paraId="47B01B84" w14:textId="77777777" w:rsidTr="007C4D1A">
        <w:trPr>
          <w:trHeight w:val="129"/>
        </w:trPr>
        <w:tc>
          <w:tcPr>
            <w:tcW w:w="2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36CED81"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74E04D05"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後発医薬品</w:t>
            </w:r>
          </w:p>
        </w:tc>
        <w:tc>
          <w:tcPr>
            <w:tcW w:w="3995" w:type="dxa"/>
            <w:gridSpan w:val="6"/>
            <w:tcBorders>
              <w:top w:val="single" w:sz="4" w:space="0" w:color="auto"/>
              <w:left w:val="nil"/>
              <w:bottom w:val="single" w:sz="4" w:space="0" w:color="auto"/>
              <w:right w:val="single" w:sz="4" w:space="0" w:color="000000"/>
            </w:tcBorders>
            <w:shd w:val="clear" w:color="auto" w:fill="auto"/>
            <w:noWrap/>
            <w:vAlign w:val="center"/>
          </w:tcPr>
          <w:p w14:paraId="5BF7ACE1"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先発医薬品</w:t>
            </w:r>
          </w:p>
        </w:tc>
      </w:tr>
      <w:tr w:rsidR="003B0837" w:rsidRPr="00545513" w14:paraId="29E26B29" w14:textId="77777777" w:rsidTr="007C4D1A">
        <w:trPr>
          <w:trHeight w:val="412"/>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1C6062" w14:textId="0270A433" w:rsidR="003B0837" w:rsidRPr="00DD7B58" w:rsidRDefault="00E94FEF">
            <w:pPr>
              <w:widowControl/>
              <w:spacing w:line="3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販売</w:t>
            </w:r>
            <w:r w:rsidR="003B0837" w:rsidRPr="00DD7B58">
              <w:rPr>
                <w:rFonts w:ascii="ＭＳ Ｐゴシック" w:eastAsia="ＭＳ Ｐゴシック" w:hAnsi="ＭＳ Ｐゴシック" w:cs="ＭＳ Ｐゴシック" w:hint="eastAsia"/>
                <w:kern w:val="0"/>
                <w:sz w:val="20"/>
                <w:szCs w:val="20"/>
              </w:rPr>
              <w:t>名</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3DAA69BE" w14:textId="2383EDFF" w:rsidR="003B0837" w:rsidRPr="007F2F1E" w:rsidRDefault="003B0837">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レボカバスチン点眼液0.025</w:t>
            </w:r>
            <w:r w:rsidR="007C4D1A">
              <w:rPr>
                <w:rFonts w:ascii="ＭＳ Ｐゴシック" w:eastAsia="ＭＳ Ｐゴシック" w:hAnsi="ＭＳ Ｐゴシック" w:cs="ＭＳ Ｐゴシック" w:hint="eastAsia"/>
                <w:kern w:val="0"/>
                <w:sz w:val="18"/>
                <w:szCs w:val="18"/>
              </w:rPr>
              <w:t>％</w:t>
            </w:r>
            <w:r w:rsidRPr="007F2F1E">
              <w:rPr>
                <w:rFonts w:ascii="ＭＳ Ｐゴシック" w:eastAsia="ＭＳ Ｐゴシック" w:hAnsi="ＭＳ Ｐゴシック" w:cs="ＭＳ Ｐゴシック" w:hint="eastAsia"/>
                <w:kern w:val="0"/>
                <w:sz w:val="18"/>
                <w:szCs w:val="18"/>
              </w:rPr>
              <w:t>「TS」</w:t>
            </w:r>
          </w:p>
        </w:tc>
        <w:tc>
          <w:tcPr>
            <w:tcW w:w="3995" w:type="dxa"/>
            <w:gridSpan w:val="6"/>
            <w:tcBorders>
              <w:top w:val="single" w:sz="4" w:space="0" w:color="auto"/>
              <w:left w:val="nil"/>
              <w:bottom w:val="single" w:sz="4" w:space="0" w:color="auto"/>
              <w:right w:val="single" w:sz="4" w:space="0" w:color="000000"/>
            </w:tcBorders>
            <w:shd w:val="clear" w:color="auto" w:fill="auto"/>
            <w:noWrap/>
            <w:vAlign w:val="center"/>
          </w:tcPr>
          <w:p w14:paraId="4DA76534"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3B0837" w:rsidRPr="00545513" w14:paraId="672E04C4" w14:textId="77777777" w:rsidTr="007C4D1A">
        <w:trPr>
          <w:trHeight w:val="418"/>
        </w:trPr>
        <w:tc>
          <w:tcPr>
            <w:tcW w:w="2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E35D39E" w14:textId="7F1268DB"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製造販売</w:t>
            </w:r>
            <w:r w:rsidR="007F2F1E">
              <w:rPr>
                <w:rFonts w:ascii="ＭＳ Ｐゴシック" w:eastAsia="ＭＳ Ｐゴシック" w:hAnsi="ＭＳ Ｐゴシック" w:cs="ＭＳ Ｐゴシック" w:hint="eastAsia"/>
                <w:kern w:val="0"/>
                <w:sz w:val="20"/>
                <w:szCs w:val="20"/>
              </w:rPr>
              <w:t>元/発売元</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2204386E" w14:textId="5836EDA1" w:rsidR="003B0837" w:rsidRPr="007F2F1E" w:rsidRDefault="003B0837">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テイカ製薬株式会社</w:t>
            </w:r>
            <w:r w:rsidR="007F2F1E">
              <w:rPr>
                <w:rFonts w:ascii="ＭＳ Ｐゴシック" w:eastAsia="ＭＳ Ｐゴシック" w:hAnsi="ＭＳ Ｐゴシック" w:cs="ＭＳ Ｐゴシック" w:hint="eastAsia"/>
                <w:kern w:val="0"/>
                <w:sz w:val="18"/>
                <w:szCs w:val="18"/>
              </w:rPr>
              <w:t>/千寿製薬株式会社</w:t>
            </w:r>
          </w:p>
        </w:tc>
        <w:tc>
          <w:tcPr>
            <w:tcW w:w="3995" w:type="dxa"/>
            <w:gridSpan w:val="6"/>
            <w:tcBorders>
              <w:top w:val="single" w:sz="4" w:space="0" w:color="auto"/>
              <w:left w:val="nil"/>
              <w:bottom w:val="single" w:sz="4" w:space="0" w:color="auto"/>
              <w:right w:val="single" w:sz="4" w:space="0" w:color="000000"/>
            </w:tcBorders>
            <w:shd w:val="clear" w:color="auto" w:fill="auto"/>
            <w:noWrap/>
            <w:vAlign w:val="center"/>
          </w:tcPr>
          <w:p w14:paraId="16F59A52"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3B0837" w:rsidRPr="00545513" w14:paraId="4E993E2B" w14:textId="77777777" w:rsidTr="007C4D1A">
        <w:trPr>
          <w:trHeight w:val="411"/>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75691C" w14:textId="704A1BD4"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薬価</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0C4E1238" w14:textId="0ECA052B" w:rsidR="003B0837" w:rsidRPr="007F2F1E" w:rsidRDefault="003B0837" w:rsidP="001969F6">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0.025％</w:t>
            </w:r>
            <w:r w:rsidR="00A113B1" w:rsidRPr="007F2F1E">
              <w:rPr>
                <w:rFonts w:ascii="ＭＳ Ｐゴシック" w:eastAsia="ＭＳ Ｐゴシック" w:hAnsi="ＭＳ Ｐゴシック" w:cs="ＭＳ Ｐゴシック" w:hint="eastAsia"/>
                <w:kern w:val="0"/>
                <w:sz w:val="18"/>
                <w:szCs w:val="18"/>
              </w:rPr>
              <w:t xml:space="preserve">　</w:t>
            </w:r>
            <w:r w:rsidRPr="007F2F1E">
              <w:rPr>
                <w:rFonts w:ascii="ＭＳ Ｐゴシック" w:eastAsia="ＭＳ Ｐゴシック" w:hAnsi="ＭＳ Ｐゴシック" w:cs="ＭＳ Ｐゴシック" w:hint="eastAsia"/>
                <w:kern w:val="0"/>
                <w:sz w:val="18"/>
                <w:szCs w:val="18"/>
              </w:rPr>
              <w:t xml:space="preserve">1mL　</w:t>
            </w:r>
            <w:r w:rsidR="001504A7" w:rsidRPr="007F2F1E">
              <w:rPr>
                <w:rFonts w:ascii="ＭＳ Ｐゴシック" w:eastAsia="ＭＳ Ｐゴシック" w:hAnsi="ＭＳ Ｐゴシック" w:cs="ＭＳ Ｐゴシック" w:hint="eastAsia"/>
                <w:kern w:val="0"/>
                <w:sz w:val="18"/>
                <w:szCs w:val="18"/>
              </w:rPr>
              <w:t>4</w:t>
            </w:r>
            <w:r w:rsidR="00A55FFA" w:rsidRPr="007F2F1E">
              <w:rPr>
                <w:rFonts w:ascii="ＭＳ Ｐゴシック" w:eastAsia="ＭＳ Ｐゴシック" w:hAnsi="ＭＳ Ｐゴシック" w:cs="ＭＳ Ｐゴシック"/>
                <w:kern w:val="0"/>
                <w:sz w:val="18"/>
                <w:szCs w:val="18"/>
              </w:rPr>
              <w:t>9</w:t>
            </w:r>
            <w:r w:rsidR="001504A7" w:rsidRPr="007F2F1E">
              <w:rPr>
                <w:rFonts w:ascii="ＭＳ Ｐゴシック" w:eastAsia="ＭＳ Ｐゴシック" w:hAnsi="ＭＳ Ｐゴシック" w:cs="ＭＳ Ｐゴシック" w:hint="eastAsia"/>
                <w:kern w:val="0"/>
                <w:sz w:val="18"/>
                <w:szCs w:val="18"/>
              </w:rPr>
              <w:t>.</w:t>
            </w:r>
            <w:r w:rsidR="00A55FFA" w:rsidRPr="007F2F1E">
              <w:rPr>
                <w:rFonts w:ascii="ＭＳ Ｐゴシック" w:eastAsia="ＭＳ Ｐゴシック" w:hAnsi="ＭＳ Ｐゴシック" w:cs="ＭＳ Ｐゴシック"/>
                <w:kern w:val="0"/>
                <w:sz w:val="18"/>
                <w:szCs w:val="18"/>
              </w:rPr>
              <w:t>5</w:t>
            </w:r>
            <w:r w:rsidR="003C15F9" w:rsidRPr="007F2F1E">
              <w:rPr>
                <w:rFonts w:ascii="ＭＳ Ｐゴシック" w:eastAsia="ＭＳ Ｐゴシック" w:hAnsi="ＭＳ Ｐゴシック" w:cs="ＭＳ Ｐゴシック" w:hint="eastAsia"/>
                <w:kern w:val="0"/>
                <w:sz w:val="18"/>
                <w:szCs w:val="18"/>
              </w:rPr>
              <w:t>0</w:t>
            </w:r>
            <w:r w:rsidR="0097446D" w:rsidRPr="007F2F1E">
              <w:rPr>
                <w:rFonts w:ascii="ＭＳ Ｐゴシック" w:eastAsia="ＭＳ Ｐゴシック" w:hAnsi="ＭＳ Ｐゴシック" w:cs="ＭＳ Ｐゴシック" w:hint="eastAsia"/>
                <w:kern w:val="0"/>
                <w:sz w:val="18"/>
                <w:szCs w:val="18"/>
              </w:rPr>
              <w:t>円</w:t>
            </w:r>
          </w:p>
        </w:tc>
        <w:tc>
          <w:tcPr>
            <w:tcW w:w="3995" w:type="dxa"/>
            <w:gridSpan w:val="6"/>
            <w:tcBorders>
              <w:top w:val="single" w:sz="4" w:space="0" w:color="auto"/>
              <w:left w:val="nil"/>
              <w:bottom w:val="single" w:sz="4" w:space="0" w:color="auto"/>
              <w:right w:val="single" w:sz="4" w:space="0" w:color="000000"/>
            </w:tcBorders>
            <w:shd w:val="clear" w:color="auto" w:fill="auto"/>
            <w:vAlign w:val="center"/>
          </w:tcPr>
          <w:p w14:paraId="2A1DA6EB" w14:textId="59BC9465"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3B0837" w:rsidRPr="00545513" w14:paraId="2786C20F" w14:textId="77777777" w:rsidTr="007C4D1A">
        <w:trPr>
          <w:trHeight w:val="1057"/>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F2C552"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添加物</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6788C27D" w14:textId="17E3DB45" w:rsidR="003B0837" w:rsidRPr="007F2F1E" w:rsidRDefault="00E94FEF" w:rsidP="00E94FEF">
            <w:pPr>
              <w:widowControl/>
              <w:spacing w:line="360" w:lineRule="exact"/>
              <w:rPr>
                <w:rFonts w:ascii="ＭＳ Ｐゴシック" w:eastAsia="ＭＳ Ｐゴシック" w:hAnsi="ＭＳ Ｐゴシック" w:cs="ＭＳ Ｐゴシック"/>
                <w:kern w:val="0"/>
                <w:sz w:val="18"/>
                <w:szCs w:val="18"/>
              </w:rPr>
            </w:pPr>
            <w:r w:rsidRPr="00E94FEF">
              <w:rPr>
                <w:rFonts w:ascii="ＭＳ Ｐゴシック" w:eastAsia="ＭＳ Ｐゴシック" w:hAnsi="ＭＳ Ｐゴシック" w:cs="ＭＳ Ｐゴシック" w:hint="eastAsia"/>
                <w:kern w:val="0"/>
                <w:sz w:val="18"/>
                <w:szCs w:val="18"/>
              </w:rPr>
              <w:t>ホウ酸、クエン酸水和物、トロメタモール、ポリソルベート80、ヒプロメロース、D-マンニトール、プロピレングリコール、グリセリン、ベンザルコニウム塩化物、塩化ナトリウム、エデト酸ナトリウム水和物</w:t>
            </w:r>
          </w:p>
        </w:tc>
        <w:tc>
          <w:tcPr>
            <w:tcW w:w="3995" w:type="dxa"/>
            <w:gridSpan w:val="6"/>
            <w:tcBorders>
              <w:top w:val="single" w:sz="4" w:space="0" w:color="auto"/>
              <w:left w:val="nil"/>
              <w:bottom w:val="single" w:sz="4" w:space="0" w:color="auto"/>
              <w:right w:val="single" w:sz="4" w:space="0" w:color="000000"/>
            </w:tcBorders>
            <w:shd w:val="clear" w:color="auto" w:fill="auto"/>
            <w:vAlign w:val="center"/>
          </w:tcPr>
          <w:p w14:paraId="049A1E3D" w14:textId="77777777" w:rsidR="003B0837" w:rsidRPr="00DD7B58" w:rsidRDefault="003B0837">
            <w:pPr>
              <w:widowControl/>
              <w:spacing w:line="360" w:lineRule="exact"/>
              <w:jc w:val="left"/>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3B0837" w:rsidRPr="00545513" w14:paraId="7093589D" w14:textId="77777777" w:rsidTr="007C4D1A">
        <w:trPr>
          <w:trHeight w:val="380"/>
        </w:trPr>
        <w:tc>
          <w:tcPr>
            <w:tcW w:w="2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7CF8041" w14:textId="4DCC1900"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性状</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6E783067" w14:textId="6B91A74D" w:rsidR="003B0837" w:rsidRPr="007F2F1E" w:rsidRDefault="00DD7B58">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白色の懸濁液、無菌製剤</w:t>
            </w:r>
          </w:p>
        </w:tc>
        <w:tc>
          <w:tcPr>
            <w:tcW w:w="3995" w:type="dxa"/>
            <w:gridSpan w:val="6"/>
            <w:tcBorders>
              <w:top w:val="single" w:sz="4" w:space="0" w:color="auto"/>
              <w:left w:val="nil"/>
              <w:bottom w:val="single" w:sz="4" w:space="0" w:color="auto"/>
              <w:right w:val="single" w:sz="4" w:space="0" w:color="000000"/>
            </w:tcBorders>
            <w:shd w:val="clear" w:color="auto" w:fill="auto"/>
            <w:vAlign w:val="center"/>
          </w:tcPr>
          <w:p w14:paraId="13E5C3C0"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3B0837" w:rsidRPr="00545513" w14:paraId="250B3129" w14:textId="77777777" w:rsidTr="007C4D1A">
        <w:trPr>
          <w:trHeight w:val="415"/>
        </w:trPr>
        <w:tc>
          <w:tcPr>
            <w:tcW w:w="2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BB8442"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pH</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37CDB051" w14:textId="77777777" w:rsidR="003B0837" w:rsidRPr="007F2F1E" w:rsidRDefault="003B0837">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6.0 ～ 8.0</w:t>
            </w:r>
          </w:p>
        </w:tc>
        <w:tc>
          <w:tcPr>
            <w:tcW w:w="3995" w:type="dxa"/>
            <w:gridSpan w:val="6"/>
            <w:tcBorders>
              <w:top w:val="single" w:sz="4" w:space="0" w:color="auto"/>
              <w:left w:val="nil"/>
              <w:bottom w:val="single" w:sz="4" w:space="0" w:color="auto"/>
              <w:right w:val="single" w:sz="4" w:space="0" w:color="000000"/>
            </w:tcBorders>
            <w:shd w:val="clear" w:color="auto" w:fill="auto"/>
            <w:vAlign w:val="center"/>
          </w:tcPr>
          <w:p w14:paraId="68F1F32F"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3B0837" w:rsidRPr="00545513" w14:paraId="0F593292" w14:textId="77777777" w:rsidTr="007C4D1A">
        <w:trPr>
          <w:trHeight w:val="420"/>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69B8A1" w14:textId="29E801B9"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貯法</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27DCBDF3" w14:textId="77777777" w:rsidR="003B0837" w:rsidRPr="007F2F1E" w:rsidRDefault="003B0837">
            <w:pPr>
              <w:widowControl/>
              <w:spacing w:line="360" w:lineRule="exact"/>
              <w:jc w:val="center"/>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室温保存</w:t>
            </w:r>
          </w:p>
        </w:tc>
        <w:tc>
          <w:tcPr>
            <w:tcW w:w="3995" w:type="dxa"/>
            <w:gridSpan w:val="6"/>
            <w:tcBorders>
              <w:top w:val="single" w:sz="4" w:space="0" w:color="auto"/>
              <w:left w:val="nil"/>
              <w:bottom w:val="single" w:sz="4" w:space="0" w:color="auto"/>
              <w:right w:val="single" w:sz="4" w:space="0" w:color="000000"/>
            </w:tcBorders>
            <w:shd w:val="clear" w:color="auto" w:fill="auto"/>
            <w:vAlign w:val="center"/>
          </w:tcPr>
          <w:p w14:paraId="5A6FD55D"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 xml:space="preserve">　</w:t>
            </w:r>
          </w:p>
        </w:tc>
      </w:tr>
      <w:tr w:rsidR="007F2F1E" w:rsidRPr="00545513" w14:paraId="4ABF1D9C" w14:textId="77777777" w:rsidTr="007C4D1A">
        <w:trPr>
          <w:trHeight w:val="15"/>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B01EDB" w14:textId="434FB0BA" w:rsidR="007F2F1E" w:rsidRPr="00DD7B58" w:rsidRDefault="007F2F1E">
            <w:pPr>
              <w:widowControl/>
              <w:spacing w:line="3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取扱い上の注意</w:t>
            </w:r>
          </w:p>
        </w:tc>
        <w:tc>
          <w:tcPr>
            <w:tcW w:w="4035" w:type="dxa"/>
            <w:gridSpan w:val="2"/>
            <w:tcBorders>
              <w:top w:val="single" w:sz="4" w:space="0" w:color="auto"/>
              <w:left w:val="nil"/>
              <w:bottom w:val="single" w:sz="4" w:space="0" w:color="auto"/>
              <w:right w:val="single" w:sz="4" w:space="0" w:color="000000"/>
            </w:tcBorders>
            <w:shd w:val="clear" w:color="auto" w:fill="auto"/>
            <w:vAlign w:val="center"/>
          </w:tcPr>
          <w:p w14:paraId="0B8881ED" w14:textId="6E68B77F" w:rsidR="007F2F1E" w:rsidRPr="007F2F1E" w:rsidRDefault="007F2F1E" w:rsidP="00E94FEF">
            <w:pPr>
              <w:widowControl/>
              <w:spacing w:line="360" w:lineRule="exact"/>
              <w:ind w:left="180" w:hangingChars="100" w:hanging="180"/>
              <w:jc w:val="left"/>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kern w:val="0"/>
                <w:sz w:val="18"/>
                <w:szCs w:val="18"/>
              </w:rPr>
              <w:t xml:space="preserve">1 </w:t>
            </w:r>
            <w:r w:rsidRPr="007F2F1E">
              <w:rPr>
                <w:rFonts w:ascii="ＭＳ Ｐゴシック" w:eastAsia="ＭＳ Ｐゴシック" w:hAnsi="ＭＳ Ｐゴシック" w:cs="ＭＳ Ｐゴシック" w:hint="eastAsia"/>
                <w:kern w:val="0"/>
                <w:sz w:val="18"/>
                <w:szCs w:val="18"/>
              </w:rPr>
              <w:t>本剤は、保管の仕方によっては振り混ぜても粒子が分散しにくくなる場合があるので、上向きに保管すること。</w:t>
            </w:r>
          </w:p>
          <w:p w14:paraId="149C8291" w14:textId="6731C78D" w:rsidR="007F2F1E" w:rsidRPr="007F2F1E" w:rsidRDefault="007F2F1E" w:rsidP="007F2F1E">
            <w:pPr>
              <w:widowControl/>
              <w:spacing w:line="360" w:lineRule="exact"/>
              <w:jc w:val="left"/>
              <w:rPr>
                <w:rFonts w:ascii="ＭＳ Ｐゴシック" w:eastAsia="ＭＳ Ｐゴシック" w:hAnsi="ＭＳ Ｐゴシック" w:cs="ＭＳ Ｐゴシック"/>
                <w:kern w:val="0"/>
                <w:sz w:val="18"/>
                <w:szCs w:val="18"/>
              </w:rPr>
            </w:pPr>
            <w:r w:rsidRPr="007F2F1E">
              <w:rPr>
                <w:rFonts w:ascii="ＭＳ Ｐゴシック" w:eastAsia="ＭＳ Ｐゴシック" w:hAnsi="ＭＳ Ｐゴシック" w:cs="ＭＳ Ｐゴシック" w:hint="eastAsia"/>
                <w:kern w:val="0"/>
                <w:sz w:val="18"/>
                <w:szCs w:val="18"/>
              </w:rPr>
              <w:t>.2 小児の手の届かない所に保管すること。</w:t>
            </w:r>
          </w:p>
        </w:tc>
        <w:tc>
          <w:tcPr>
            <w:tcW w:w="3995" w:type="dxa"/>
            <w:gridSpan w:val="6"/>
            <w:tcBorders>
              <w:top w:val="single" w:sz="4" w:space="0" w:color="auto"/>
              <w:left w:val="nil"/>
              <w:bottom w:val="single" w:sz="4" w:space="0" w:color="auto"/>
              <w:right w:val="single" w:sz="4" w:space="0" w:color="000000"/>
            </w:tcBorders>
            <w:shd w:val="clear" w:color="auto" w:fill="auto"/>
            <w:vAlign w:val="center"/>
          </w:tcPr>
          <w:p w14:paraId="5349A155" w14:textId="77777777" w:rsidR="007F2F1E" w:rsidRPr="007F2F1E" w:rsidRDefault="007F2F1E">
            <w:pPr>
              <w:widowControl/>
              <w:spacing w:line="360" w:lineRule="exact"/>
              <w:jc w:val="center"/>
              <w:rPr>
                <w:rFonts w:ascii="ＭＳ Ｐゴシック" w:eastAsia="ＭＳ Ｐゴシック" w:hAnsi="ＭＳ Ｐゴシック" w:cs="ＭＳ Ｐゴシック"/>
                <w:kern w:val="0"/>
                <w:sz w:val="20"/>
                <w:szCs w:val="20"/>
              </w:rPr>
            </w:pPr>
          </w:p>
        </w:tc>
      </w:tr>
      <w:tr w:rsidR="003B0837" w:rsidRPr="00545513" w14:paraId="4BB1464B" w14:textId="77777777" w:rsidTr="007C4D1A">
        <w:trPr>
          <w:trHeight w:val="377"/>
        </w:trPr>
        <w:tc>
          <w:tcPr>
            <w:tcW w:w="2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BF5C016" w14:textId="77777777"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品質再評価</w:t>
            </w:r>
          </w:p>
        </w:tc>
        <w:tc>
          <w:tcPr>
            <w:tcW w:w="8031" w:type="dxa"/>
            <w:gridSpan w:val="8"/>
            <w:tcBorders>
              <w:top w:val="single" w:sz="4" w:space="0" w:color="auto"/>
              <w:left w:val="nil"/>
              <w:bottom w:val="single" w:sz="4" w:space="0" w:color="auto"/>
              <w:right w:val="single" w:sz="4" w:space="0" w:color="000000"/>
            </w:tcBorders>
            <w:shd w:val="clear" w:color="auto" w:fill="auto"/>
            <w:vAlign w:val="center"/>
          </w:tcPr>
          <w:p w14:paraId="4DD6FCE9" w14:textId="11BF0720" w:rsidR="003B0837" w:rsidRPr="00DD7B58" w:rsidRDefault="003B083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該当しない</w:t>
            </w:r>
          </w:p>
        </w:tc>
      </w:tr>
      <w:tr w:rsidR="00C15817" w:rsidRPr="00545513" w14:paraId="0985C91B" w14:textId="77777777" w:rsidTr="007C4D1A">
        <w:trPr>
          <w:trHeight w:val="4759"/>
        </w:trPr>
        <w:tc>
          <w:tcPr>
            <w:tcW w:w="22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E2884E" w14:textId="6A07E375" w:rsidR="00C15817" w:rsidRPr="00DD7B58" w:rsidRDefault="00C15817" w:rsidP="00C15817">
            <w:pPr>
              <w:widowControl/>
              <w:spacing w:line="360" w:lineRule="exact"/>
              <w:jc w:val="center"/>
              <w:rPr>
                <w:rFonts w:ascii="ＭＳ Ｐゴシック" w:eastAsia="ＭＳ Ｐゴシック" w:hAnsi="ＭＳ Ｐゴシック" w:cs="ＭＳ Ｐゴシック"/>
                <w:kern w:val="0"/>
                <w:sz w:val="20"/>
                <w:szCs w:val="20"/>
              </w:rPr>
            </w:pPr>
            <w:r w:rsidRPr="00DD7B58">
              <w:rPr>
                <w:rFonts w:ascii="ＭＳ Ｐゴシック" w:eastAsia="ＭＳ Ｐゴシック" w:hAnsi="ＭＳ Ｐゴシック" w:cs="ＭＳ Ｐゴシック" w:hint="eastAsia"/>
                <w:kern w:val="0"/>
                <w:sz w:val="20"/>
                <w:szCs w:val="20"/>
              </w:rPr>
              <w:t>生物学的同等性試験</w:t>
            </w:r>
          </w:p>
        </w:tc>
        <w:tc>
          <w:tcPr>
            <w:tcW w:w="803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5D9AB3D8" w14:textId="77777777" w:rsidR="00DD7B58" w:rsidRPr="001C1A59" w:rsidRDefault="00DD7B58" w:rsidP="00DD7B58">
            <w:pPr>
              <w:widowControl/>
              <w:spacing w:line="360" w:lineRule="exact"/>
              <w:jc w:val="left"/>
              <w:rPr>
                <w:rFonts w:ascii="ＭＳ Ｐゴシック" w:eastAsia="ＭＳ Ｐゴシック" w:hAnsi="ＭＳ Ｐゴシック" w:cs="ＭＳ Ｐゴシック"/>
                <w:kern w:val="0"/>
                <w:sz w:val="18"/>
                <w:szCs w:val="18"/>
              </w:rPr>
            </w:pPr>
            <w:r w:rsidRPr="001C1A59">
              <w:rPr>
                <w:rFonts w:ascii="ＭＳ Ｐゴシック" w:eastAsia="ＭＳ Ｐゴシック" w:hAnsi="ＭＳ Ｐゴシック" w:cs="ＭＳ Ｐゴシック" w:hint="eastAsia"/>
                <w:kern w:val="0"/>
                <w:sz w:val="18"/>
                <w:szCs w:val="18"/>
              </w:rPr>
              <w:t>家兎結膜中における薬物滞留性</w:t>
            </w:r>
          </w:p>
          <w:p w14:paraId="194079B9" w14:textId="590E526B" w:rsidR="00DD7B58" w:rsidRPr="001C1A59" w:rsidRDefault="00DD7B58" w:rsidP="00DD7B58">
            <w:pPr>
              <w:widowControl/>
              <w:spacing w:line="360" w:lineRule="exact"/>
              <w:jc w:val="left"/>
              <w:rPr>
                <w:rFonts w:ascii="ＭＳ Ｐゴシック" w:eastAsia="ＭＳ Ｐゴシック" w:hAnsi="ＭＳ Ｐゴシック" w:cs="ＭＳ Ｐゴシック"/>
                <w:kern w:val="0"/>
                <w:sz w:val="16"/>
                <w:szCs w:val="16"/>
              </w:rPr>
            </w:pPr>
            <w:r w:rsidRPr="001C1A59">
              <w:rPr>
                <w:rFonts w:ascii="ＭＳ Ｐゴシック" w:eastAsia="ＭＳ Ｐゴシック" w:hAnsi="ＭＳ Ｐゴシック" w:cs="ＭＳ Ｐゴシック" w:hint="eastAsia"/>
                <w:kern w:val="0"/>
                <w:sz w:val="16"/>
                <w:szCs w:val="16"/>
              </w:rPr>
              <w:t>日本白色家兎に本剤あるいはリボスチン点眼液0.025</w:t>
            </w:r>
            <w:r w:rsidR="007C4D1A">
              <w:rPr>
                <w:rFonts w:ascii="ＭＳ Ｐゴシック" w:eastAsia="ＭＳ Ｐゴシック" w:hAnsi="ＭＳ Ｐゴシック" w:cs="ＭＳ Ｐゴシック" w:hint="eastAsia"/>
                <w:kern w:val="0"/>
                <w:sz w:val="16"/>
                <w:szCs w:val="16"/>
              </w:rPr>
              <w:t>％</w:t>
            </w:r>
            <w:r w:rsidRPr="001C1A59">
              <w:rPr>
                <w:rFonts w:ascii="ＭＳ Ｐゴシック" w:eastAsia="ＭＳ Ｐゴシック" w:hAnsi="ＭＳ Ｐゴシック" w:cs="ＭＳ Ｐゴシック" w:hint="eastAsia"/>
                <w:kern w:val="0"/>
                <w:sz w:val="16"/>
                <w:szCs w:val="16"/>
              </w:rPr>
              <w:t>を点眼後0.5、1、3、8及び24時間に眼瞼結膜を摘出し結膜中薬物濃度を測定した。結膜中の薬物濃度は、本剤の点眼0.5時間後に最高値（199.19ng/g）を示した後、一次速度式に従って徐々に消失した。本剤とリボスチン点眼液0.025</w:t>
            </w:r>
            <w:r w:rsidR="007C4D1A">
              <w:rPr>
                <w:rFonts w:ascii="ＭＳ Ｐゴシック" w:eastAsia="ＭＳ Ｐゴシック" w:hAnsi="ＭＳ Ｐゴシック" w:cs="ＭＳ Ｐゴシック" w:hint="eastAsia"/>
                <w:kern w:val="0"/>
                <w:sz w:val="16"/>
                <w:szCs w:val="16"/>
              </w:rPr>
              <w:t>％</w:t>
            </w:r>
            <w:r w:rsidRPr="001C1A59">
              <w:rPr>
                <w:rFonts w:ascii="ＭＳ Ｐゴシック" w:eastAsia="ＭＳ Ｐゴシック" w:hAnsi="ＭＳ Ｐゴシック" w:cs="ＭＳ Ｐゴシック" w:hint="eastAsia"/>
                <w:kern w:val="0"/>
                <w:sz w:val="16"/>
                <w:szCs w:val="16"/>
              </w:rPr>
              <w:t>の値を用いてStudentのt検定にて統計解析を行った結果、いずれの測定点においても両剤の間に有意な差は認められず、両剤の生物学的同等性が確認された。</w:t>
            </w:r>
          </w:p>
          <w:p w14:paraId="5EC33976" w14:textId="157CB7BA" w:rsidR="00C15817" w:rsidRPr="001C1A59" w:rsidRDefault="007C4D1A" w:rsidP="007C4D1A">
            <w:pPr>
              <w:widowControl/>
              <w:spacing w:line="360" w:lineRule="exact"/>
              <w:ind w:rightChars="104" w:right="218"/>
              <w:rPr>
                <w:rFonts w:ascii="ＭＳ Ｐゴシック" w:eastAsia="ＭＳ Ｐゴシック" w:hAnsi="ＭＳ Ｐゴシック" w:cs="ＭＳ Ｐゴシック" w:hint="eastAsia"/>
                <w:kern w:val="0"/>
                <w:sz w:val="18"/>
                <w:szCs w:val="18"/>
              </w:rPr>
            </w:pPr>
            <w:r w:rsidRPr="007C4D1A">
              <w:rPr>
                <w:rFonts w:ascii="ＭＳ Ｐゴシック" w:eastAsia="ＭＳ Ｐゴシック" w:hAnsi="ＭＳ Ｐゴシック" w:cs="ＭＳ Ｐゴシック"/>
                <w:noProof/>
                <w:kern w:val="0"/>
                <w:sz w:val="16"/>
                <w:szCs w:val="16"/>
              </w:rPr>
              <mc:AlternateContent>
                <mc:Choice Requires="wps">
                  <w:drawing>
                    <wp:anchor distT="0" distB="0" distL="114300" distR="114300" simplePos="0" relativeHeight="251659264" behindDoc="0" locked="0" layoutInCell="1" allowOverlap="1" wp14:anchorId="5280F6A5" wp14:editId="719F265C">
                      <wp:simplePos x="0" y="0"/>
                      <wp:positionH relativeFrom="column">
                        <wp:posOffset>1562735</wp:posOffset>
                      </wp:positionH>
                      <wp:positionV relativeFrom="page">
                        <wp:posOffset>1216660</wp:posOffset>
                      </wp:positionV>
                      <wp:extent cx="2323465" cy="254000"/>
                      <wp:effectExtent l="0" t="0" r="0" b="0"/>
                      <wp:wrapNone/>
                      <wp:docPr id="434569851" name="テキスト ボックス 1"/>
                      <wp:cNvGraphicFramePr/>
                      <a:graphic xmlns:a="http://schemas.openxmlformats.org/drawingml/2006/main">
                        <a:graphicData uri="http://schemas.microsoft.com/office/word/2010/wordprocessingShape">
                          <wps:wsp>
                            <wps:cNvSpPr txBox="1"/>
                            <wps:spPr>
                              <a:xfrm>
                                <a:off x="0" y="0"/>
                                <a:ext cx="2323465" cy="254000"/>
                              </a:xfrm>
                              <a:prstGeom prst="rect">
                                <a:avLst/>
                              </a:prstGeom>
                              <a:noFill/>
                              <a:ln w="6350">
                                <a:noFill/>
                              </a:ln>
                            </wps:spPr>
                            <wps:txbx>
                              <w:txbxContent>
                                <w:p w14:paraId="5DE8EADD" w14:textId="4BE0948C" w:rsidR="007C4D1A" w:rsidRPr="007C4D1A" w:rsidRDefault="007C4D1A">
                                  <w:pPr>
                                    <w:rPr>
                                      <w:rFonts w:ascii="游ゴシック" w:eastAsia="游ゴシック" w:hAnsi="游ゴシック"/>
                                      <w:sz w:val="16"/>
                                      <w:szCs w:val="20"/>
                                    </w:rPr>
                                  </w:pPr>
                                  <w:r w:rsidRPr="007C4D1A">
                                    <w:rPr>
                                      <w:rFonts w:ascii="游ゴシック" w:eastAsia="游ゴシック" w:hAnsi="游ゴシック" w:hint="eastAsia"/>
                                      <w:sz w:val="16"/>
                                      <w:szCs w:val="20"/>
                                    </w:rPr>
                                    <w:t>結膜中のレボカバスチン塩酸塩濃度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0F6A5" id="_x0000_t202" coordsize="21600,21600" o:spt="202" path="m,l,21600r21600,l21600,xe">
                      <v:stroke joinstyle="miter"/>
                      <v:path gradientshapeok="t" o:connecttype="rect"/>
                    </v:shapetype>
                    <v:shape id="テキスト ボックス 1" o:spid="_x0000_s1026" type="#_x0000_t202" style="position:absolute;left:0;text-align:left;margin-left:123.05pt;margin-top:95.8pt;width:182.95pt;height:2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" filled="f" stroked="f" strokeweight=".5pt">
                      <v:textbox>
                        <w:txbxContent>
                          <w:p w14:paraId="5DE8EADD" w14:textId="4BE0948C" w:rsidR="007C4D1A" w:rsidRPr="007C4D1A" w:rsidRDefault="007C4D1A">
                            <w:pPr>
                              <w:rPr>
                                <w:rFonts w:ascii="游ゴシック" w:eastAsia="游ゴシック" w:hAnsi="游ゴシック"/>
                                <w:sz w:val="16"/>
                                <w:szCs w:val="20"/>
                              </w:rPr>
                            </w:pPr>
                            <w:r w:rsidRPr="007C4D1A">
                              <w:rPr>
                                <w:rFonts w:ascii="游ゴシック" w:eastAsia="游ゴシック" w:hAnsi="游ゴシック" w:hint="eastAsia"/>
                                <w:sz w:val="16"/>
                                <w:szCs w:val="20"/>
                              </w:rPr>
                              <w:t>結膜中のレボカバスチン塩酸塩濃度</w:t>
                            </w:r>
                          </w:p>
                        </w:txbxContent>
                      </v:textbox>
                      <w10:wrap anchory="page"/>
                    </v:shape>
                  </w:pict>
                </mc:Fallback>
              </mc:AlternateContent>
            </w:r>
          </w:p>
          <w:p w14:paraId="1180843E" w14:textId="7C15C869" w:rsidR="00DD7B58" w:rsidRPr="00DD7B58" w:rsidRDefault="007C4D1A"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r w:rsidRPr="00DD7B58">
              <w:rPr>
                <w:rFonts w:ascii="ＭＳ Ｐゴシック" w:eastAsia="ＭＳ Ｐゴシック" w:hAnsi="ＭＳ Ｐゴシック" w:cs="ＭＳ Ｐゴシック" w:hint="eastAsia"/>
                <w:noProof/>
                <w:color w:val="000000"/>
                <w:kern w:val="0"/>
                <w:sz w:val="20"/>
                <w:szCs w:val="20"/>
              </w:rPr>
              <w:drawing>
                <wp:anchor distT="0" distB="0" distL="114300" distR="114300" simplePos="0" relativeHeight="251658240" behindDoc="0" locked="0" layoutInCell="1" allowOverlap="1" wp14:anchorId="18FF6C62" wp14:editId="4E218EF0">
                  <wp:simplePos x="0" y="0"/>
                  <wp:positionH relativeFrom="column">
                    <wp:posOffset>1224915</wp:posOffset>
                  </wp:positionH>
                  <wp:positionV relativeFrom="paragraph">
                    <wp:posOffset>88900</wp:posOffset>
                  </wp:positionV>
                  <wp:extent cx="2451100" cy="1534160"/>
                  <wp:effectExtent l="0" t="0" r="6350" b="8890"/>
                  <wp:wrapNone/>
                  <wp:docPr id="1057515366"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515366" name="図 1" descr="グラフ&#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1100" cy="1534160"/>
                          </a:xfrm>
                          <a:prstGeom prst="rect">
                            <a:avLst/>
                          </a:prstGeom>
                        </pic:spPr>
                      </pic:pic>
                    </a:graphicData>
                  </a:graphic>
                  <wp14:sizeRelH relativeFrom="margin">
                    <wp14:pctWidth>0</wp14:pctWidth>
                  </wp14:sizeRelH>
                  <wp14:sizeRelV relativeFrom="margin">
                    <wp14:pctHeight>0</wp14:pctHeight>
                  </wp14:sizeRelV>
                </wp:anchor>
              </w:drawing>
            </w:r>
          </w:p>
          <w:p w14:paraId="50FA3419" w14:textId="2ED67700" w:rsidR="00DD7B58" w:rsidRPr="00DD7B58" w:rsidRDefault="00DD7B58"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p>
          <w:p w14:paraId="7F3C7FCD" w14:textId="698605A5" w:rsidR="00DD7B58" w:rsidRPr="00DD7B58" w:rsidRDefault="00DD7B58"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p>
          <w:p w14:paraId="468A6564" w14:textId="3EE086F6" w:rsidR="00DD7B58" w:rsidRPr="00DD7B58" w:rsidRDefault="00DD7B58"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p>
          <w:p w14:paraId="7FCF728F" w14:textId="1910A91C" w:rsidR="00DD7B58" w:rsidRPr="00DD7B58" w:rsidRDefault="00DD7B58"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p>
          <w:p w14:paraId="6F7C3B67" w14:textId="77A722FF" w:rsidR="00DD7B58" w:rsidRDefault="00DD7B58"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p>
          <w:p w14:paraId="3EEC47A8" w14:textId="6655DC43" w:rsidR="001C1A59" w:rsidRPr="00DD7B58" w:rsidRDefault="001C1A59" w:rsidP="00C15817">
            <w:pPr>
              <w:widowControl/>
              <w:spacing w:line="360" w:lineRule="exact"/>
              <w:ind w:rightChars="104" w:right="218"/>
              <w:jc w:val="left"/>
              <w:rPr>
                <w:rFonts w:ascii="ＭＳ Ｐゴシック" w:eastAsia="ＭＳ Ｐゴシック" w:hAnsi="ＭＳ Ｐゴシック" w:cs="ＭＳ Ｐゴシック"/>
                <w:color w:val="000000"/>
                <w:kern w:val="0"/>
                <w:sz w:val="20"/>
                <w:szCs w:val="20"/>
              </w:rPr>
            </w:pPr>
          </w:p>
        </w:tc>
      </w:tr>
      <w:tr w:rsidR="00C15817" w:rsidRPr="00C15817" w14:paraId="36391C4D" w14:textId="77777777" w:rsidTr="007C4D1A">
        <w:trPr>
          <w:trHeight w:val="905"/>
        </w:trPr>
        <w:tc>
          <w:tcPr>
            <w:tcW w:w="2205" w:type="dxa"/>
            <w:gridSpan w:val="2"/>
            <w:tcBorders>
              <w:top w:val="single" w:sz="4" w:space="0" w:color="000000"/>
              <w:left w:val="single" w:sz="4" w:space="0" w:color="auto"/>
              <w:bottom w:val="single" w:sz="4" w:space="0" w:color="auto"/>
              <w:right w:val="single" w:sz="4" w:space="0" w:color="auto"/>
            </w:tcBorders>
            <w:shd w:val="clear" w:color="auto" w:fill="auto"/>
            <w:noWrap/>
            <w:vAlign w:val="center"/>
          </w:tcPr>
          <w:p w14:paraId="2F98E644" w14:textId="70F97553" w:rsidR="00C15817" w:rsidRPr="00C15817" w:rsidRDefault="00C15817" w:rsidP="00C15817">
            <w:pPr>
              <w:widowControl/>
              <w:spacing w:line="300" w:lineRule="exact"/>
              <w:jc w:val="center"/>
              <w:rPr>
                <w:rFonts w:ascii="ＭＳ Ｐゴシック" w:eastAsia="ＭＳ Ｐゴシック" w:hAnsi="ＭＳ Ｐゴシック" w:cs="ＭＳ Ｐゴシック"/>
                <w:kern w:val="0"/>
                <w:szCs w:val="21"/>
              </w:rPr>
            </w:pPr>
            <w:r w:rsidRPr="00DD7B58">
              <w:rPr>
                <w:rFonts w:ascii="ＭＳ Ｐゴシック" w:eastAsia="ＭＳ Ｐゴシック" w:hAnsi="ＭＳ Ｐゴシック" w:cs="ＭＳ Ｐゴシック" w:hint="eastAsia"/>
                <w:kern w:val="0"/>
                <w:sz w:val="20"/>
                <w:szCs w:val="20"/>
              </w:rPr>
              <w:t>備考</w:t>
            </w:r>
          </w:p>
        </w:tc>
        <w:tc>
          <w:tcPr>
            <w:tcW w:w="803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17C68716" w14:textId="0A25CF77" w:rsidR="00C15817" w:rsidRPr="00C15817" w:rsidRDefault="00C15817" w:rsidP="00DD7B58">
            <w:pPr>
              <w:widowControl/>
              <w:spacing w:line="300" w:lineRule="exact"/>
              <w:rPr>
                <w:rFonts w:ascii="ＭＳ Ｐゴシック" w:eastAsia="ＭＳ Ｐゴシック" w:hAnsi="ＭＳ Ｐゴシック" w:cs="ＭＳ Ｐゴシック"/>
                <w:kern w:val="0"/>
                <w:szCs w:val="21"/>
              </w:rPr>
            </w:pPr>
          </w:p>
        </w:tc>
      </w:tr>
      <w:tr w:rsidR="007C4D1A" w:rsidRPr="007C4D1A" w14:paraId="4559516D" w14:textId="77777777" w:rsidTr="007C4D1A">
        <w:trPr>
          <w:trHeight w:val="50"/>
        </w:trPr>
        <w:tc>
          <w:tcPr>
            <w:tcW w:w="2205" w:type="dxa"/>
            <w:gridSpan w:val="2"/>
            <w:tcBorders>
              <w:top w:val="single" w:sz="4" w:space="0" w:color="auto"/>
              <w:bottom w:val="single" w:sz="4" w:space="0" w:color="auto"/>
            </w:tcBorders>
            <w:shd w:val="clear" w:color="auto" w:fill="auto"/>
            <w:noWrap/>
            <w:vAlign w:val="center"/>
          </w:tcPr>
          <w:p w14:paraId="3F449E36" w14:textId="77777777" w:rsidR="007C4D1A" w:rsidRPr="007C4D1A" w:rsidRDefault="007C4D1A" w:rsidP="00C15817">
            <w:pPr>
              <w:widowControl/>
              <w:spacing w:line="300" w:lineRule="exact"/>
              <w:jc w:val="center"/>
              <w:rPr>
                <w:rFonts w:ascii="ＭＳ Ｐゴシック" w:eastAsia="ＭＳ Ｐゴシック" w:hAnsi="ＭＳ Ｐゴシック" w:cs="ＭＳ Ｐゴシック" w:hint="eastAsia"/>
                <w:kern w:val="0"/>
                <w:sz w:val="12"/>
                <w:szCs w:val="12"/>
              </w:rPr>
            </w:pPr>
          </w:p>
        </w:tc>
        <w:tc>
          <w:tcPr>
            <w:tcW w:w="8031" w:type="dxa"/>
            <w:gridSpan w:val="8"/>
            <w:tcBorders>
              <w:top w:val="single" w:sz="4" w:space="0" w:color="auto"/>
              <w:bottom w:val="single" w:sz="4" w:space="0" w:color="auto"/>
            </w:tcBorders>
            <w:shd w:val="clear" w:color="auto" w:fill="auto"/>
            <w:noWrap/>
            <w:vAlign w:val="center"/>
          </w:tcPr>
          <w:p w14:paraId="467659A1" w14:textId="77777777" w:rsidR="007C4D1A" w:rsidRPr="007C4D1A" w:rsidRDefault="007C4D1A" w:rsidP="00DD7B58">
            <w:pPr>
              <w:widowControl/>
              <w:spacing w:line="300" w:lineRule="exact"/>
              <w:rPr>
                <w:rFonts w:ascii="ＭＳ Ｐゴシック" w:eastAsia="ＭＳ Ｐゴシック" w:hAnsi="ＭＳ Ｐゴシック" w:cs="ＭＳ Ｐゴシック"/>
                <w:kern w:val="0"/>
                <w:sz w:val="12"/>
                <w:szCs w:val="12"/>
              </w:rPr>
            </w:pPr>
          </w:p>
        </w:tc>
      </w:tr>
      <w:tr w:rsidR="00C15817" w:rsidRPr="00C15817" w14:paraId="587CF9D5" w14:textId="77777777" w:rsidTr="007C4D1A">
        <w:trPr>
          <w:trHeight w:val="847"/>
        </w:trPr>
        <w:tc>
          <w:tcPr>
            <w:tcW w:w="22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752C034" w14:textId="77777777" w:rsidR="00C15817" w:rsidRPr="00C15817" w:rsidRDefault="00C15817" w:rsidP="00C15817">
            <w:pPr>
              <w:widowControl/>
              <w:spacing w:line="300" w:lineRule="exact"/>
              <w:ind w:left="-94" w:right="-75"/>
              <w:jc w:val="center"/>
              <w:rPr>
                <w:rFonts w:ascii="ＭＳ Ｐゴシック" w:eastAsia="ＭＳ Ｐゴシック" w:hAnsi="ＭＳ Ｐゴシック" w:cs="ＭＳ Ｐゴシック"/>
                <w:kern w:val="0"/>
                <w:sz w:val="20"/>
                <w:szCs w:val="20"/>
              </w:rPr>
            </w:pPr>
            <w:r w:rsidRPr="00C15817">
              <w:rPr>
                <w:rFonts w:ascii="ＭＳ Ｐゴシック" w:eastAsia="ＭＳ Ｐゴシック" w:hAnsi="ＭＳ Ｐゴシック" w:cs="ＭＳ Ｐゴシック" w:hint="eastAsia"/>
                <w:kern w:val="0"/>
                <w:sz w:val="20"/>
                <w:szCs w:val="20"/>
              </w:rPr>
              <w:t>保険薬局名・連絡先等</w:t>
            </w:r>
          </w:p>
        </w:tc>
        <w:tc>
          <w:tcPr>
            <w:tcW w:w="8031" w:type="dxa"/>
            <w:gridSpan w:val="8"/>
            <w:tcBorders>
              <w:top w:val="single" w:sz="4" w:space="0" w:color="auto"/>
              <w:left w:val="nil"/>
              <w:bottom w:val="single" w:sz="4" w:space="0" w:color="auto"/>
              <w:right w:val="single" w:sz="4" w:space="0" w:color="000000"/>
            </w:tcBorders>
            <w:shd w:val="clear" w:color="auto" w:fill="auto"/>
            <w:noWrap/>
            <w:vAlign w:val="center"/>
          </w:tcPr>
          <w:p w14:paraId="4CA45C7D" w14:textId="77777777" w:rsidR="00C15817" w:rsidRPr="00E94FEF" w:rsidRDefault="00C15817" w:rsidP="00C15817">
            <w:pPr>
              <w:widowControl/>
              <w:spacing w:line="300" w:lineRule="exact"/>
              <w:jc w:val="center"/>
              <w:rPr>
                <w:rFonts w:ascii="ＭＳ Ｐゴシック" w:eastAsia="ＭＳ Ｐゴシック" w:hAnsi="ＭＳ Ｐゴシック" w:cs="ＭＳ Ｐゴシック"/>
                <w:kern w:val="0"/>
                <w:szCs w:val="21"/>
              </w:rPr>
            </w:pPr>
          </w:p>
        </w:tc>
      </w:tr>
    </w:tbl>
    <w:p w14:paraId="4D8932B9" w14:textId="49868413" w:rsidR="00FD4431" w:rsidRPr="00DD7B58" w:rsidRDefault="0097446D" w:rsidP="00FD4431">
      <w:pPr>
        <w:ind w:leftChars="4320" w:left="9072"/>
        <w:rPr>
          <w:sz w:val="20"/>
          <w:szCs w:val="22"/>
        </w:rPr>
      </w:pPr>
      <w:r w:rsidRPr="00DD7B58">
        <w:rPr>
          <w:rFonts w:ascii="ＭＳ Ｐゴシック" w:eastAsia="ＭＳ Ｐゴシック" w:hAnsi="ＭＳ Ｐゴシック" w:cs="ＭＳ Ｐゴシック" w:hint="eastAsia"/>
          <w:kern w:val="0"/>
          <w:sz w:val="20"/>
          <w:szCs w:val="20"/>
        </w:rPr>
        <w:t>202</w:t>
      </w:r>
      <w:r w:rsidR="00A55FFA" w:rsidRPr="00DD7B58">
        <w:rPr>
          <w:rFonts w:ascii="ＭＳ Ｐゴシック" w:eastAsia="ＭＳ Ｐゴシック" w:hAnsi="ＭＳ Ｐゴシック" w:cs="ＭＳ Ｐゴシック"/>
          <w:kern w:val="0"/>
          <w:sz w:val="20"/>
          <w:szCs w:val="20"/>
        </w:rPr>
        <w:t>4</w:t>
      </w:r>
      <w:r w:rsidRPr="00DD7B58">
        <w:rPr>
          <w:rFonts w:ascii="ＭＳ Ｐゴシック" w:eastAsia="ＭＳ Ｐゴシック" w:hAnsi="ＭＳ Ｐゴシック" w:cs="ＭＳ Ｐゴシック" w:hint="eastAsia"/>
          <w:kern w:val="0"/>
          <w:sz w:val="20"/>
          <w:szCs w:val="20"/>
        </w:rPr>
        <w:t>年4月</w:t>
      </w:r>
    </w:p>
    <w:sectPr w:rsidR="00FD4431" w:rsidRPr="00DD7B58" w:rsidSect="00F65B4B">
      <w:footerReference w:type="default" r:id="rId7"/>
      <w:pgSz w:w="11906" w:h="16838" w:code="9"/>
      <w:pgMar w:top="1134" w:right="851" w:bottom="709"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3F90" w14:textId="77777777" w:rsidR="00F65B4B" w:rsidRDefault="00F65B4B">
      <w:r>
        <w:separator/>
      </w:r>
    </w:p>
  </w:endnote>
  <w:endnote w:type="continuationSeparator" w:id="0">
    <w:p w14:paraId="35B085FA" w14:textId="77777777" w:rsidR="00F65B4B" w:rsidRDefault="00F6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0B18" w14:textId="77777777" w:rsidR="003B0837" w:rsidRDefault="003B0837">
    <w:pPr>
      <w:pStyle w:val="a4"/>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15817">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15817">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6CF9" w14:textId="77777777" w:rsidR="00F65B4B" w:rsidRDefault="00F65B4B">
      <w:r>
        <w:separator/>
      </w:r>
    </w:p>
  </w:footnote>
  <w:footnote w:type="continuationSeparator" w:id="0">
    <w:p w14:paraId="6EC8E7F3" w14:textId="77777777" w:rsidR="00F65B4B" w:rsidRDefault="00F6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6E"/>
    <w:rsid w:val="00020857"/>
    <w:rsid w:val="000976BC"/>
    <w:rsid w:val="001504A7"/>
    <w:rsid w:val="00160923"/>
    <w:rsid w:val="001969F6"/>
    <w:rsid w:val="001C11C4"/>
    <w:rsid w:val="001C1A59"/>
    <w:rsid w:val="002A1487"/>
    <w:rsid w:val="002F4634"/>
    <w:rsid w:val="00311B2F"/>
    <w:rsid w:val="003451A5"/>
    <w:rsid w:val="0035646E"/>
    <w:rsid w:val="003B0837"/>
    <w:rsid w:val="003B6981"/>
    <w:rsid w:val="003C15F9"/>
    <w:rsid w:val="00531E29"/>
    <w:rsid w:val="005B3615"/>
    <w:rsid w:val="007472A6"/>
    <w:rsid w:val="007C4D1A"/>
    <w:rsid w:val="007F2F1E"/>
    <w:rsid w:val="00882DFF"/>
    <w:rsid w:val="00893863"/>
    <w:rsid w:val="0097446D"/>
    <w:rsid w:val="009920D5"/>
    <w:rsid w:val="00A113B1"/>
    <w:rsid w:val="00A55FFA"/>
    <w:rsid w:val="00AC19FD"/>
    <w:rsid w:val="00AE602A"/>
    <w:rsid w:val="00AF48EE"/>
    <w:rsid w:val="00BB4F71"/>
    <w:rsid w:val="00C15817"/>
    <w:rsid w:val="00CA71D5"/>
    <w:rsid w:val="00DD7B58"/>
    <w:rsid w:val="00DF3A8C"/>
    <w:rsid w:val="00E13FF7"/>
    <w:rsid w:val="00E2161E"/>
    <w:rsid w:val="00E94FEF"/>
    <w:rsid w:val="00EF1F8C"/>
    <w:rsid w:val="00EF4D9C"/>
    <w:rsid w:val="00F65B4B"/>
    <w:rsid w:val="00F87E47"/>
    <w:rsid w:val="00FB3E39"/>
    <w:rsid w:val="00FD4431"/>
    <w:rsid w:val="00FF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F4AC1D"/>
  <w15:docId w15:val="{BF0D8A0B-22E8-48B6-A312-1DA8FA80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020857"/>
    <w:rPr>
      <w:rFonts w:ascii="Arial" w:eastAsia="ＭＳ ゴシック" w:hAnsi="Arial"/>
      <w:sz w:val="18"/>
      <w:szCs w:val="18"/>
    </w:rPr>
  </w:style>
  <w:style w:type="character" w:customStyle="1" w:styleId="a7">
    <w:name w:val="吹き出し (文字)"/>
    <w:link w:val="a6"/>
    <w:rsid w:val="00020857"/>
    <w:rPr>
      <w:rFonts w:ascii="Arial" w:eastAsia="ＭＳ ゴシック" w:hAnsi="Arial" w:cs="Times New Roman"/>
      <w:kern w:val="2"/>
      <w:sz w:val="18"/>
      <w:szCs w:val="18"/>
    </w:rPr>
  </w:style>
  <w:style w:type="paragraph" w:styleId="a8">
    <w:name w:val="List Paragraph"/>
    <w:basedOn w:val="a"/>
    <w:uiPriority w:val="34"/>
    <w:qFormat/>
    <w:rsid w:val="00A113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9068">
      <w:bodyDiv w:val="1"/>
      <w:marLeft w:val="0"/>
      <w:marRight w:val="0"/>
      <w:marTop w:val="0"/>
      <w:marBottom w:val="0"/>
      <w:divBdr>
        <w:top w:val="none" w:sz="0" w:space="0" w:color="auto"/>
        <w:left w:val="none" w:sz="0" w:space="0" w:color="auto"/>
        <w:bottom w:val="none" w:sz="0" w:space="0" w:color="auto"/>
        <w:right w:val="none" w:sz="0" w:space="0" w:color="auto"/>
      </w:divBdr>
    </w:div>
    <w:div w:id="1129008105">
      <w:bodyDiv w:val="1"/>
      <w:marLeft w:val="0"/>
      <w:marRight w:val="0"/>
      <w:marTop w:val="0"/>
      <w:marBottom w:val="0"/>
      <w:divBdr>
        <w:top w:val="none" w:sz="0" w:space="0" w:color="auto"/>
        <w:left w:val="none" w:sz="0" w:space="0" w:color="auto"/>
        <w:bottom w:val="none" w:sz="0" w:space="0" w:color="auto"/>
        <w:right w:val="none" w:sz="0" w:space="0" w:color="auto"/>
      </w:divBdr>
    </w:div>
    <w:div w:id="1365209942">
      <w:bodyDiv w:val="1"/>
      <w:marLeft w:val="0"/>
      <w:marRight w:val="0"/>
      <w:marTop w:val="0"/>
      <w:marBottom w:val="0"/>
      <w:divBdr>
        <w:top w:val="none" w:sz="0" w:space="0" w:color="auto"/>
        <w:left w:val="none" w:sz="0" w:space="0" w:color="auto"/>
        <w:bottom w:val="none" w:sz="0" w:space="0" w:color="auto"/>
        <w:right w:val="none" w:sz="0" w:space="0" w:color="auto"/>
      </w:divBdr>
    </w:div>
    <w:div w:id="1384523844">
      <w:bodyDiv w:val="1"/>
      <w:marLeft w:val="0"/>
      <w:marRight w:val="0"/>
      <w:marTop w:val="0"/>
      <w:marBottom w:val="0"/>
      <w:divBdr>
        <w:top w:val="none" w:sz="0" w:space="0" w:color="auto"/>
        <w:left w:val="none" w:sz="0" w:space="0" w:color="auto"/>
        <w:bottom w:val="none" w:sz="0" w:space="0" w:color="auto"/>
        <w:right w:val="none" w:sz="0" w:space="0" w:color="auto"/>
      </w:divBdr>
    </w:div>
    <w:div w:id="1543978628">
      <w:bodyDiv w:val="1"/>
      <w:marLeft w:val="0"/>
      <w:marRight w:val="0"/>
      <w:marTop w:val="0"/>
      <w:marBottom w:val="0"/>
      <w:divBdr>
        <w:top w:val="none" w:sz="0" w:space="0" w:color="auto"/>
        <w:left w:val="none" w:sz="0" w:space="0" w:color="auto"/>
        <w:bottom w:val="none" w:sz="0" w:space="0" w:color="auto"/>
        <w:right w:val="none" w:sz="0" w:space="0" w:color="auto"/>
      </w:divBdr>
    </w:div>
    <w:div w:id="2004311589">
      <w:bodyDiv w:val="1"/>
      <w:marLeft w:val="0"/>
      <w:marRight w:val="0"/>
      <w:marTop w:val="0"/>
      <w:marBottom w:val="0"/>
      <w:divBdr>
        <w:top w:val="none" w:sz="0" w:space="0" w:color="auto"/>
        <w:left w:val="none" w:sz="0" w:space="0" w:color="auto"/>
        <w:bottom w:val="none" w:sz="0" w:space="0" w:color="auto"/>
        <w:right w:val="none" w:sz="0" w:space="0" w:color="auto"/>
      </w:divBdr>
    </w:div>
    <w:div w:id="2006668118">
      <w:bodyDiv w:val="1"/>
      <w:marLeft w:val="0"/>
      <w:marRight w:val="0"/>
      <w:marTop w:val="0"/>
      <w:marBottom w:val="0"/>
      <w:divBdr>
        <w:top w:val="none" w:sz="0" w:space="0" w:color="auto"/>
        <w:left w:val="none" w:sz="0" w:space="0" w:color="auto"/>
        <w:bottom w:val="none" w:sz="0" w:space="0" w:color="auto"/>
        <w:right w:val="none" w:sz="0" w:space="0" w:color="auto"/>
      </w:divBdr>
    </w:div>
    <w:div w:id="21132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『レボカバスチン点眼液0</vt:lpstr>
    </vt:vector>
  </TitlesOfParts>
  <Company>千寿製薬株式会社</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12</cp:revision>
  <cp:lastPrinted>2024-03-07T05:08:00Z</cp:lastPrinted>
  <dcterms:created xsi:type="dcterms:W3CDTF">2023-02-14T00:14:00Z</dcterms:created>
  <dcterms:modified xsi:type="dcterms:W3CDTF">2024-03-07T05:08:00Z</dcterms:modified>
</cp:coreProperties>
</file>