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6" w:type="dxa"/>
        <w:tblInd w:w="86" w:type="dxa"/>
        <w:tblCellMar>
          <w:left w:w="99" w:type="dxa"/>
          <w:right w:w="99" w:type="dxa"/>
        </w:tblCellMar>
        <w:tblLook w:val="0000" w:firstRow="0" w:lastRow="0" w:firstColumn="0" w:lastColumn="0" w:noHBand="0" w:noVBand="0"/>
      </w:tblPr>
      <w:tblGrid>
        <w:gridCol w:w="2560"/>
        <w:gridCol w:w="218"/>
        <w:gridCol w:w="3160"/>
        <w:gridCol w:w="44"/>
        <w:gridCol w:w="218"/>
        <w:gridCol w:w="2898"/>
        <w:gridCol w:w="228"/>
      </w:tblGrid>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一般名</w:t>
            </w:r>
            <w:bookmarkStart w:id="0" w:name="_GoBack"/>
            <w:bookmarkEnd w:id="0"/>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デキサメタゾンメタスルホ安息香酸エステルナトリウム</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剤　形</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水性点眼剤</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薬効分類名</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抗炎症ステロイド点眼剤</w:t>
            </w:r>
          </w:p>
        </w:tc>
      </w:tr>
      <w:tr w:rsidR="00F7663F" w:rsidRPr="00FD7B26">
        <w:trPr>
          <w:trHeight w:val="600"/>
        </w:trPr>
        <w:tc>
          <w:tcPr>
            <w:tcW w:w="25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成分・含量（１ｍL中）</w:t>
            </w:r>
          </w:p>
        </w:tc>
        <w:tc>
          <w:tcPr>
            <w:tcW w:w="6766" w:type="dxa"/>
            <w:gridSpan w:val="6"/>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デキサメタゾンメタスルホ安息香酸エステルナトリウム0.3mg</w:t>
            </w:r>
            <w:r w:rsidRPr="00FD7B26">
              <w:rPr>
                <w:rFonts w:ascii="ＭＳ Ｐゴシック" w:eastAsia="ＭＳ Ｐゴシック" w:hAnsi="ＭＳ Ｐゴシック" w:cs="ＭＳ Ｐゴシック" w:hint="eastAsia"/>
                <w:sz w:val="22"/>
                <w:szCs w:val="22"/>
              </w:rPr>
              <w:br/>
              <w:t>（デキサメタゾンとして0.2mg）</w:t>
            </w:r>
          </w:p>
        </w:tc>
      </w:tr>
      <w:tr w:rsidR="00F7663F" w:rsidRPr="00FD7B26">
        <w:trPr>
          <w:trHeight w:val="200"/>
        </w:trPr>
        <w:tc>
          <w:tcPr>
            <w:tcW w:w="9326" w:type="dxa"/>
            <w:gridSpan w:val="7"/>
            <w:tcBorders>
              <w:top w:val="nil"/>
              <w:left w:val="nil"/>
              <w:bottom w:val="nil"/>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後発医薬品</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先発医薬品</w:t>
            </w: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製品名</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製造販売会社名</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千寿製薬株式会社</w:t>
            </w:r>
          </w:p>
        </w:tc>
        <w:tc>
          <w:tcPr>
            <w:tcW w:w="3126" w:type="dxa"/>
            <w:gridSpan w:val="2"/>
            <w:tcBorders>
              <w:top w:val="single" w:sz="4" w:space="0" w:color="auto"/>
              <w:left w:val="nil"/>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薬　価</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0.02</w:t>
            </w:r>
            <w:r>
              <w:rPr>
                <w:rFonts w:ascii="ＭＳ Ｐゴシック" w:eastAsia="ＭＳ Ｐゴシック" w:hAnsi="ＭＳ Ｐゴシック" w:cs="ＭＳ Ｐゴシック" w:hint="eastAsia"/>
                <w:sz w:val="20"/>
              </w:rPr>
              <w:t>％</w:t>
            </w:r>
            <w:r w:rsidR="007F4DBF">
              <w:rPr>
                <w:rFonts w:ascii="ＭＳ Ｐゴシック" w:eastAsia="ＭＳ Ｐゴシック" w:hAnsi="ＭＳ Ｐゴシック" w:cs="ＭＳ Ｐゴシック" w:hint="eastAsia"/>
                <w:sz w:val="20"/>
              </w:rPr>
              <w:t xml:space="preserve"> </w:t>
            </w:r>
            <w:r w:rsidRPr="00FD7B26">
              <w:rPr>
                <w:rFonts w:ascii="ＭＳ Ｐゴシック" w:eastAsia="ＭＳ Ｐゴシック" w:hAnsi="ＭＳ Ｐゴシック" w:cs="ＭＳ Ｐゴシック" w:hint="eastAsia"/>
                <w:sz w:val="20"/>
              </w:rPr>
              <w:t xml:space="preserve">1mL　</w:t>
            </w:r>
            <w:r w:rsidR="00646332">
              <w:rPr>
                <w:rFonts w:ascii="ＭＳ Ｐゴシック" w:eastAsia="ＭＳ Ｐゴシック" w:hAnsi="ＭＳ Ｐゴシック" w:cs="ＭＳ Ｐゴシック" w:hint="eastAsia"/>
                <w:sz w:val="20"/>
              </w:rPr>
              <w:t>12.8</w:t>
            </w:r>
            <w:r w:rsidRPr="00667676">
              <w:rPr>
                <w:rFonts w:ascii="ＭＳ Ｐゴシック" w:eastAsia="ＭＳ Ｐゴシック" w:hAnsi="ＭＳ Ｐゴシック" w:cs="ＭＳ Ｐゴシック" w:hint="eastAsia"/>
                <w:sz w:val="20"/>
              </w:rPr>
              <w:t>0</w:t>
            </w:r>
            <w:r w:rsidRPr="00FD7B26">
              <w:rPr>
                <w:rFonts w:ascii="ＭＳ Ｐゴシック" w:eastAsia="ＭＳ Ｐゴシック" w:hAnsi="ＭＳ Ｐゴシック" w:cs="ＭＳ Ｐゴシック" w:hint="eastAsia"/>
                <w:sz w:val="20"/>
              </w:rPr>
              <w:t>円</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11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添加物</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濃グリセリン、パラオキシ安息香酸プロピル、パラオキシ安息香酸メチル、クロロブタノール、酢酸ナトリウム水和物、酢酸</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性状（　色　）</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無色澄明</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pH</w:t>
            </w:r>
          </w:p>
        </w:tc>
        <w:tc>
          <w:tcPr>
            <w:tcW w:w="3640" w:type="dxa"/>
            <w:gridSpan w:val="4"/>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3.7　～　5.2</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貯　法</w:t>
            </w:r>
          </w:p>
        </w:tc>
        <w:tc>
          <w:tcPr>
            <w:tcW w:w="3640" w:type="dxa"/>
            <w:gridSpan w:val="4"/>
            <w:tcBorders>
              <w:top w:val="single" w:sz="4" w:space="0" w:color="auto"/>
              <w:left w:val="nil"/>
              <w:bottom w:val="nil"/>
              <w:right w:val="single" w:sz="4" w:space="0" w:color="000000"/>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1.室温保存</w:t>
            </w:r>
            <w:r w:rsidRPr="00FD7B26">
              <w:rPr>
                <w:rFonts w:ascii="ＭＳ Ｐゴシック" w:eastAsia="ＭＳ Ｐゴシック" w:hAnsi="ＭＳ Ｐゴシック" w:cs="ＭＳ Ｐゴシック" w:hint="eastAsia"/>
                <w:sz w:val="20"/>
              </w:rPr>
              <w:br/>
              <w:t>2.外箱開封後は、遮光して保存すること。</w:t>
            </w:r>
          </w:p>
        </w:tc>
        <w:tc>
          <w:tcPr>
            <w:tcW w:w="3126" w:type="dxa"/>
            <w:gridSpan w:val="2"/>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500"/>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品質再評価</w:t>
            </w:r>
          </w:p>
        </w:tc>
        <w:tc>
          <w:tcPr>
            <w:tcW w:w="6766" w:type="dxa"/>
            <w:gridSpan w:val="6"/>
            <w:tcBorders>
              <w:top w:val="single" w:sz="4" w:space="0" w:color="auto"/>
              <w:left w:val="nil"/>
              <w:bottom w:val="single" w:sz="4" w:space="0" w:color="auto"/>
              <w:right w:val="single" w:sz="4" w:space="0" w:color="000000"/>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該当しない。</w:t>
            </w:r>
          </w:p>
        </w:tc>
      </w:tr>
      <w:tr w:rsidR="00F7663F" w:rsidRPr="00FD7B26">
        <w:trPr>
          <w:trHeight w:val="403"/>
        </w:trPr>
        <w:tc>
          <w:tcPr>
            <w:tcW w:w="2560" w:type="dxa"/>
            <w:vMerge w:val="restart"/>
            <w:tcBorders>
              <w:top w:val="single" w:sz="4" w:space="0" w:color="auto"/>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生物学的</w:t>
            </w:r>
            <w:r w:rsidRPr="00FD7B26">
              <w:rPr>
                <w:rFonts w:ascii="ＭＳ Ｐゴシック" w:eastAsia="ＭＳ Ｐゴシック" w:hAnsi="ＭＳ Ｐゴシック" w:cs="ＭＳ Ｐゴシック" w:hint="eastAsia"/>
                <w:sz w:val="20"/>
              </w:rPr>
              <w:br/>
              <w:t>同等性試験</w:t>
            </w:r>
          </w:p>
        </w:tc>
        <w:tc>
          <w:tcPr>
            <w:tcW w:w="6766" w:type="dxa"/>
            <w:gridSpan w:val="6"/>
            <w:tcBorders>
              <w:top w:val="single" w:sz="4" w:space="0" w:color="auto"/>
              <w:left w:val="single" w:sz="4" w:space="0" w:color="auto"/>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【薬効薬理】：抗炎症作用</w:t>
            </w:r>
          </w:p>
        </w:tc>
      </w:tr>
      <w:tr w:rsidR="00F7663F" w:rsidRPr="00FD7B26">
        <w:trPr>
          <w:trHeight w:val="1560"/>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2"/>
                <w:szCs w:val="22"/>
              </w:rPr>
            </w:pPr>
            <w:r w:rsidRPr="00FD7B26">
              <w:rPr>
                <w:rFonts w:ascii="ＭＳ Ｐゴシック" w:eastAsia="ＭＳ Ｐゴシック" w:hAnsi="ＭＳ Ｐゴシック" w:cs="ＭＳ Ｐゴシック" w:hint="eastAsia"/>
                <w:sz w:val="22"/>
                <w:szCs w:val="22"/>
              </w:rPr>
              <w:t>（１）ラットのクロトン油誘発結膜炎モデル</w:t>
            </w:r>
            <w:r w:rsidRPr="00FD7B26">
              <w:rPr>
                <w:rFonts w:ascii="ＭＳ Ｐゴシック" w:eastAsia="ＭＳ Ｐゴシック" w:hAnsi="ＭＳ Ｐゴシック" w:cs="ＭＳ Ｐゴシック" w:hint="eastAsia"/>
                <w:sz w:val="22"/>
                <w:szCs w:val="22"/>
              </w:rPr>
              <w:br/>
              <w:t>ラットにクロトン油を点眼して結膜浮腫を誘発し、上部眼瞼重量を結膜浮腫の指標として、本剤及び標準製剤について得られた上部眼瞼重量をｔ検定にて統計解析を行った。その結果、本剤と標準製剤間に有意な差は認められず、両剤の生物学的同等性が確認された。</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top w:val="nil"/>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上部眼瞼重量（mg）</w:t>
            </w:r>
          </w:p>
        </w:tc>
        <w:tc>
          <w:tcPr>
            <w:tcW w:w="228" w:type="dxa"/>
            <w:vMerge w:val="restart"/>
            <w:tcBorders>
              <w:top w:val="nil"/>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30.62 ± 3.80</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31.32 ± 4.69</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1814"/>
        </w:trPr>
        <w:tc>
          <w:tcPr>
            <w:tcW w:w="2560" w:type="dxa"/>
            <w:vMerge/>
            <w:tcBorders>
              <w:top w:val="single" w:sz="4" w:space="0" w:color="auto"/>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left w:val="single" w:sz="4" w:space="0" w:color="auto"/>
              <w:bottom w:val="single" w:sz="4" w:space="0" w:color="auto"/>
              <w:right w:val="single" w:sz="4" w:space="0" w:color="auto"/>
            </w:tcBorders>
            <w:shd w:val="clear" w:color="auto" w:fill="auto"/>
            <w:vAlign w:val="center"/>
          </w:tcPr>
          <w:p w:rsidR="00F7663F" w:rsidRDefault="00F7663F">
            <w:pPr>
              <w:widowControl/>
              <w:jc w:val="righ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（平均値±標準偏差，ｎ＝10）</w:t>
            </w: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Default="00F7663F">
            <w:pPr>
              <w:widowControl/>
              <w:jc w:val="right"/>
              <w:rPr>
                <w:rFonts w:ascii="ＭＳ Ｐゴシック" w:eastAsia="ＭＳ Ｐゴシック" w:hAnsi="ＭＳ Ｐゴシック" w:cs="ＭＳ Ｐゴシック"/>
                <w:sz w:val="20"/>
              </w:rPr>
            </w:pPr>
          </w:p>
          <w:p w:rsidR="00F7663F" w:rsidRPr="00FD7B26" w:rsidRDefault="00F7663F">
            <w:pPr>
              <w:widowControl/>
              <w:jc w:val="right"/>
              <w:rPr>
                <w:rFonts w:ascii="ＭＳ Ｐゴシック" w:eastAsia="ＭＳ Ｐゴシック" w:hAnsi="ＭＳ Ｐゴシック" w:cs="ＭＳ Ｐゴシック"/>
                <w:sz w:val="20"/>
              </w:rPr>
            </w:pPr>
          </w:p>
        </w:tc>
      </w:tr>
      <w:tr w:rsidR="00F7663F" w:rsidRPr="00FD7B26">
        <w:trPr>
          <w:trHeight w:val="403"/>
        </w:trPr>
        <w:tc>
          <w:tcPr>
            <w:tcW w:w="2560" w:type="dxa"/>
            <w:vMerge w:val="restart"/>
            <w:tcBorders>
              <w:top w:val="single" w:sz="4" w:space="0" w:color="auto"/>
              <w:left w:val="single" w:sz="4" w:space="0" w:color="auto"/>
              <w:right w:val="single" w:sz="4" w:space="0" w:color="auto"/>
            </w:tcBorders>
            <w:shd w:val="clear" w:color="auto" w:fill="auto"/>
            <w:vAlign w:val="center"/>
          </w:tcPr>
          <w:p w:rsidR="00F7663F"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lastRenderedPageBreak/>
              <w:t>生物学的</w:t>
            </w:r>
            <w:r w:rsidRPr="00FD7B26">
              <w:rPr>
                <w:rFonts w:ascii="ＭＳ Ｐゴシック" w:eastAsia="ＭＳ Ｐゴシック" w:hAnsi="ＭＳ Ｐゴシック" w:cs="ＭＳ Ｐゴシック" w:hint="eastAsia"/>
                <w:sz w:val="20"/>
              </w:rPr>
              <w:br w:type="page"/>
            </w:r>
          </w:p>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同等性試験</w:t>
            </w:r>
          </w:p>
        </w:tc>
        <w:tc>
          <w:tcPr>
            <w:tcW w:w="6766" w:type="dxa"/>
            <w:gridSpan w:val="6"/>
            <w:tcBorders>
              <w:top w:val="single" w:sz="4" w:space="0" w:color="auto"/>
              <w:left w:val="single" w:sz="4" w:space="0" w:color="auto"/>
              <w:bottom w:val="nil"/>
              <w:right w:val="single" w:sz="4" w:space="0" w:color="auto"/>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2"/>
                <w:szCs w:val="22"/>
              </w:rPr>
              <w:t>（２）ウサギの牛血清アルブミン誘発ブドウ膜炎モデル</w:t>
            </w:r>
            <w:r w:rsidRPr="00FD7B26">
              <w:rPr>
                <w:rFonts w:ascii="ＭＳ Ｐゴシック" w:eastAsia="ＭＳ Ｐゴシック" w:hAnsi="ＭＳ Ｐゴシック" w:cs="ＭＳ Ｐゴシック" w:hint="eastAsia"/>
                <w:sz w:val="22"/>
                <w:szCs w:val="22"/>
              </w:rPr>
              <w:br/>
              <w:t>ウサギの硝子体に牛血清アルブミンを注入し、ブドウ膜炎を誘発した。さらに炎症症状の軽快した29日目に牛血清アルブミンを耳静脈に注入しブドウ膜炎を再発させた。内・外眼部の炎症を採点基準により点数化し、スコアの合計点数をブドウ膜炎の指標とした。本剤及び標準製剤について得られた、ブドウ膜炎を誘発して15、16、17日目の合計点数の平均値（表１）及び30日目の合計点数（表２）をｔ検定にて統計解析を行った。いずれの結果においても、本剤と標準製剤間に有意な差は認められず、両剤の生物学的同等性が確認された。</w:t>
            </w:r>
          </w:p>
        </w:tc>
      </w:tr>
      <w:tr w:rsidR="00F7663F" w:rsidRPr="00FD7B26">
        <w:trPr>
          <w:trHeight w:val="403"/>
        </w:trPr>
        <w:tc>
          <w:tcPr>
            <w:tcW w:w="2560"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422" w:type="dxa"/>
            <w:gridSpan w:val="3"/>
            <w:tcBorders>
              <w:top w:val="nil"/>
              <w:left w:val="single" w:sz="4" w:space="0" w:color="auto"/>
              <w:bottom w:val="nil"/>
              <w:right w:val="nil"/>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（表１）</w:t>
            </w:r>
          </w:p>
        </w:tc>
        <w:tc>
          <w:tcPr>
            <w:tcW w:w="3344" w:type="dxa"/>
            <w:gridSpan w:val="3"/>
            <w:tcBorders>
              <w:top w:val="nil"/>
              <w:left w:val="nil"/>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Default="00F7663F">
            <w:pPr>
              <w:widowControl/>
              <w:jc w:val="center"/>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15、16、17日目の合計点数</w:t>
            </w:r>
          </w:p>
          <w:p w:rsidR="00F7663F" w:rsidRPr="00FD7B26" w:rsidRDefault="00F7663F">
            <w:pPr>
              <w:widowControl/>
              <w:jc w:val="center"/>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の平均値</w:t>
            </w:r>
          </w:p>
        </w:tc>
        <w:tc>
          <w:tcPr>
            <w:tcW w:w="228" w:type="dxa"/>
            <w:vMerge w:val="restart"/>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color w:val="000000"/>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4.0 ± 3.5</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5.2 ± 2.6</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bottom w:val="nil"/>
              <w:right w:val="single" w:sz="4" w:space="0" w:color="auto"/>
            </w:tcBorders>
            <w:shd w:val="clear" w:color="auto" w:fill="auto"/>
            <w:noWrap/>
            <w:vAlign w:val="center"/>
          </w:tcPr>
          <w:p w:rsidR="00F7663F" w:rsidRPr="00FD7B26" w:rsidRDefault="00F7663F">
            <w:pPr>
              <w:widowControl/>
              <w:jc w:val="righ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（平均値±標準偏差，ｎ＝5）</w:t>
            </w: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3422" w:type="dxa"/>
            <w:gridSpan w:val="3"/>
            <w:tcBorders>
              <w:top w:val="nil"/>
              <w:left w:val="single" w:sz="4" w:space="0" w:color="auto"/>
              <w:bottom w:val="nil"/>
              <w:right w:val="nil"/>
            </w:tcBorders>
            <w:shd w:val="clear" w:color="auto" w:fill="auto"/>
            <w:noWrap/>
            <w:vAlign w:val="center"/>
          </w:tcPr>
          <w:p w:rsidR="00F7663F" w:rsidRPr="00FD7B26" w:rsidRDefault="00F7663F">
            <w:pPr>
              <w:widowControl/>
              <w:jc w:val="left"/>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（表２）</w:t>
            </w:r>
          </w:p>
        </w:tc>
        <w:tc>
          <w:tcPr>
            <w:tcW w:w="3344" w:type="dxa"/>
            <w:gridSpan w:val="3"/>
            <w:tcBorders>
              <w:top w:val="nil"/>
              <w:left w:val="nil"/>
              <w:bottom w:val="nil"/>
              <w:right w:val="single" w:sz="4" w:space="0" w:color="auto"/>
            </w:tcBorders>
            <w:shd w:val="clear" w:color="auto" w:fill="auto"/>
            <w:vAlign w:val="center"/>
          </w:tcPr>
          <w:p w:rsidR="00F7663F" w:rsidRPr="00FD7B26" w:rsidRDefault="00F7663F">
            <w:pPr>
              <w:widowControl/>
              <w:jc w:val="left"/>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val="restart"/>
            <w:tcBorders>
              <w:left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tcPr>
          <w:p w:rsidR="00F7663F" w:rsidRPr="00FD7B26" w:rsidRDefault="00F7663F">
            <w:pPr>
              <w:widowControl/>
              <w:rPr>
                <w:rFonts w:ascii="ＭＳ Ｐゴシック" w:eastAsia="ＭＳ Ｐゴシック" w:hAnsi="ＭＳ Ｐゴシック" w:cs="ＭＳ Ｐゴシック"/>
                <w:sz w:val="20"/>
              </w:rPr>
            </w:pPr>
          </w:p>
        </w:tc>
        <w:tc>
          <w:tcPr>
            <w:tcW w:w="3160" w:type="dxa"/>
            <w:gridSpan w:val="3"/>
            <w:tcBorders>
              <w:top w:val="single" w:sz="4" w:space="0" w:color="auto"/>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30日目の合計点数</w:t>
            </w:r>
          </w:p>
        </w:tc>
        <w:tc>
          <w:tcPr>
            <w:tcW w:w="228" w:type="dxa"/>
            <w:vMerge w:val="restart"/>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ビジュアリン点眼液0.02％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6.7 ± 6.7</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218" w:type="dxa"/>
            <w:vMerge/>
            <w:tcBorders>
              <w:left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c>
          <w:tcPr>
            <w:tcW w:w="3160" w:type="dxa"/>
            <w:tcBorders>
              <w:top w:val="nil"/>
              <w:left w:val="single" w:sz="4" w:space="0" w:color="auto"/>
              <w:bottom w:val="single" w:sz="4" w:space="0" w:color="auto"/>
              <w:right w:val="single" w:sz="4" w:space="0" w:color="auto"/>
            </w:tcBorders>
            <w:shd w:val="clear" w:color="auto" w:fill="auto"/>
            <w:vAlign w:val="center"/>
          </w:tcPr>
          <w:p w:rsidR="00F7663F" w:rsidRPr="00FD7B26" w:rsidRDefault="00F7663F">
            <w:pPr>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標準製剤（点眼液、0.02％）</w:t>
            </w:r>
          </w:p>
        </w:tc>
        <w:tc>
          <w:tcPr>
            <w:tcW w:w="3160" w:type="dxa"/>
            <w:gridSpan w:val="3"/>
            <w:tcBorders>
              <w:top w:val="nil"/>
              <w:left w:val="nil"/>
              <w:bottom w:val="single" w:sz="4" w:space="0" w:color="auto"/>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7.5 ± 5.2</w:t>
            </w:r>
          </w:p>
        </w:tc>
        <w:tc>
          <w:tcPr>
            <w:tcW w:w="228" w:type="dxa"/>
            <w:vMerge/>
            <w:tcBorders>
              <w:left w:val="nil"/>
              <w:right w:val="single" w:sz="4" w:space="0" w:color="auto"/>
            </w:tcBorders>
            <w:shd w:val="clear" w:color="auto" w:fill="auto"/>
            <w:vAlign w:val="center"/>
          </w:tcPr>
          <w:p w:rsidR="00F7663F" w:rsidRPr="00FD7B26" w:rsidRDefault="00F7663F">
            <w:pPr>
              <w:widowControl/>
              <w:jc w:val="center"/>
              <w:rPr>
                <w:rFonts w:ascii="ＭＳ Ｐゴシック" w:eastAsia="ＭＳ Ｐゴシック" w:hAnsi="ＭＳ Ｐゴシック" w:cs="ＭＳ Ｐゴシック"/>
                <w:sz w:val="20"/>
              </w:rPr>
            </w:pPr>
          </w:p>
        </w:tc>
      </w:tr>
      <w:tr w:rsidR="00F7663F" w:rsidRPr="00FD7B26">
        <w:trPr>
          <w:trHeight w:val="403"/>
        </w:trPr>
        <w:tc>
          <w:tcPr>
            <w:tcW w:w="2560" w:type="dxa"/>
            <w:vMerge/>
            <w:tcBorders>
              <w:left w:val="single" w:sz="4" w:space="0" w:color="auto"/>
              <w:bottom w:val="single" w:sz="4" w:space="0" w:color="auto"/>
              <w:right w:val="single" w:sz="4" w:space="0" w:color="auto"/>
            </w:tcBorders>
            <w:vAlign w:val="center"/>
          </w:tcPr>
          <w:p w:rsidR="00F7663F" w:rsidRPr="00FD7B26" w:rsidRDefault="00F7663F">
            <w:pPr>
              <w:widowControl/>
              <w:jc w:val="left"/>
              <w:rPr>
                <w:rFonts w:ascii="ＭＳ Ｐゴシック" w:eastAsia="ＭＳ Ｐゴシック" w:hAnsi="ＭＳ Ｐゴシック" w:cs="ＭＳ Ｐゴシック"/>
                <w:sz w:val="20"/>
              </w:rPr>
            </w:pPr>
          </w:p>
        </w:tc>
        <w:tc>
          <w:tcPr>
            <w:tcW w:w="6766" w:type="dxa"/>
            <w:gridSpan w:val="6"/>
            <w:tcBorders>
              <w:top w:val="nil"/>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right"/>
              <w:rPr>
                <w:rFonts w:ascii="ＭＳ Ｐゴシック" w:eastAsia="ＭＳ Ｐゴシック" w:hAnsi="ＭＳ Ｐゴシック" w:cs="ＭＳ Ｐゴシック"/>
                <w:color w:val="000000"/>
                <w:sz w:val="20"/>
              </w:rPr>
            </w:pPr>
            <w:r w:rsidRPr="00FD7B26">
              <w:rPr>
                <w:rFonts w:ascii="ＭＳ Ｐゴシック" w:eastAsia="ＭＳ Ｐゴシック" w:hAnsi="ＭＳ Ｐゴシック" w:cs="ＭＳ Ｐゴシック" w:hint="eastAsia"/>
                <w:color w:val="000000"/>
                <w:sz w:val="20"/>
              </w:rPr>
              <w:t>（平均値±標準偏差，ｎ＝5）</w:t>
            </w:r>
          </w:p>
        </w:tc>
      </w:tr>
      <w:tr w:rsidR="00F7663F" w:rsidRPr="00FD7B26">
        <w:trPr>
          <w:trHeight w:val="390"/>
        </w:trPr>
        <w:tc>
          <w:tcPr>
            <w:tcW w:w="9326" w:type="dxa"/>
            <w:gridSpan w:val="7"/>
            <w:tcBorders>
              <w:top w:val="single" w:sz="4" w:space="0" w:color="auto"/>
              <w:left w:val="single" w:sz="4" w:space="0" w:color="auto"/>
              <w:bottom w:val="single" w:sz="4" w:space="0" w:color="auto"/>
              <w:right w:val="nil"/>
            </w:tcBorders>
            <w:shd w:val="clear" w:color="auto" w:fill="auto"/>
            <w:noWrap/>
            <w:vAlign w:val="center"/>
          </w:tcPr>
          <w:p w:rsidR="00F7663F" w:rsidRPr="00FD7B26" w:rsidRDefault="00F7663F">
            <w:pPr>
              <w:widowControl/>
              <w:jc w:val="center"/>
              <w:rPr>
                <w:rFonts w:eastAsia="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1134"/>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備　考</w:t>
            </w:r>
          </w:p>
        </w:tc>
        <w:tc>
          <w:tcPr>
            <w:tcW w:w="6766" w:type="dxa"/>
            <w:gridSpan w:val="6"/>
            <w:tcBorders>
              <w:top w:val="single" w:sz="4" w:space="0" w:color="auto"/>
              <w:left w:val="nil"/>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240"/>
        </w:trPr>
        <w:tc>
          <w:tcPr>
            <w:tcW w:w="9326" w:type="dxa"/>
            <w:gridSpan w:val="7"/>
            <w:tcBorders>
              <w:top w:val="nil"/>
              <w:left w:val="nil"/>
              <w:bottom w:val="nil"/>
              <w:right w:val="nil"/>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r w:rsidR="00F7663F" w:rsidRPr="00FD7B26">
        <w:trPr>
          <w:trHeight w:val="1134"/>
        </w:trPr>
        <w:tc>
          <w:tcPr>
            <w:tcW w:w="25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保険薬局名・連絡先等</w:t>
            </w:r>
          </w:p>
        </w:tc>
        <w:tc>
          <w:tcPr>
            <w:tcW w:w="6766" w:type="dxa"/>
            <w:gridSpan w:val="6"/>
            <w:tcBorders>
              <w:top w:val="single" w:sz="4" w:space="0" w:color="auto"/>
              <w:left w:val="nil"/>
              <w:bottom w:val="single" w:sz="4" w:space="0" w:color="auto"/>
              <w:right w:val="single" w:sz="4" w:space="0" w:color="000000"/>
            </w:tcBorders>
            <w:shd w:val="clear" w:color="auto" w:fill="auto"/>
            <w:noWrap/>
            <w:vAlign w:val="center"/>
          </w:tcPr>
          <w:p w:rsidR="00F7663F" w:rsidRPr="00FD7B26" w:rsidRDefault="00F7663F">
            <w:pPr>
              <w:widowControl/>
              <w:jc w:val="center"/>
              <w:rPr>
                <w:rFonts w:ascii="ＭＳ Ｐゴシック" w:eastAsia="ＭＳ Ｐゴシック" w:hAnsi="ＭＳ Ｐゴシック" w:cs="ＭＳ Ｐゴシック"/>
                <w:sz w:val="20"/>
              </w:rPr>
            </w:pPr>
            <w:r w:rsidRPr="00FD7B26">
              <w:rPr>
                <w:rFonts w:ascii="ＭＳ Ｐゴシック" w:eastAsia="ＭＳ Ｐゴシック" w:hAnsi="ＭＳ Ｐゴシック" w:cs="ＭＳ Ｐゴシック" w:hint="eastAsia"/>
                <w:sz w:val="20"/>
              </w:rPr>
              <w:t xml:space="preserve">　</w:t>
            </w:r>
          </w:p>
        </w:tc>
      </w:tr>
    </w:tbl>
    <w:p w:rsidR="00F7663F" w:rsidRDefault="00F7663F"/>
    <w:p w:rsidR="00F7663F" w:rsidRPr="00296EB6" w:rsidRDefault="000F1637" w:rsidP="00FA6F1D">
      <w:pPr>
        <w:tabs>
          <w:tab w:val="left" w:pos="7380"/>
        </w:tabs>
        <w:ind w:right="-2"/>
        <w:jc w:val="right"/>
        <w:rPr>
          <w:rFonts w:ascii="ＭＳ Ｐゴシック" w:eastAsia="ＭＳ Ｐゴシック" w:hAnsi="ＭＳ Ｐゴシック"/>
          <w:sz w:val="22"/>
          <w:szCs w:val="22"/>
        </w:rPr>
      </w:pPr>
      <w:r w:rsidRPr="00FC6FDB">
        <w:rPr>
          <w:rFonts w:ascii="ＭＳ Ｐゴシック" w:eastAsia="ＭＳ Ｐゴシック" w:hAnsi="ＭＳ Ｐゴシック" w:hint="eastAsia"/>
          <w:sz w:val="22"/>
          <w:szCs w:val="22"/>
        </w:rPr>
        <w:t>202</w:t>
      </w:r>
      <w:r w:rsidR="007B502A" w:rsidRPr="00FC6FDB">
        <w:rPr>
          <w:rFonts w:ascii="ＭＳ Ｐゴシック" w:eastAsia="ＭＳ Ｐゴシック" w:hAnsi="ＭＳ Ｐゴシック" w:hint="eastAsia"/>
          <w:sz w:val="22"/>
          <w:szCs w:val="22"/>
        </w:rPr>
        <w:t>2</w:t>
      </w:r>
      <w:r w:rsidRPr="00FC6FDB">
        <w:rPr>
          <w:rFonts w:ascii="ＭＳ Ｐゴシック" w:eastAsia="ＭＳ Ｐゴシック" w:hAnsi="ＭＳ Ｐゴシック" w:hint="eastAsia"/>
          <w:sz w:val="22"/>
          <w:szCs w:val="22"/>
        </w:rPr>
        <w:t>年4月</w:t>
      </w:r>
    </w:p>
    <w:sectPr w:rsidR="00F7663F" w:rsidRPr="00296EB6" w:rsidSect="00FA6F1D">
      <w:headerReference w:type="default" r:id="rId6"/>
      <w:footerReference w:type="default" r:id="rId7"/>
      <w:pgSz w:w="11906" w:h="16838" w:code="9"/>
      <w:pgMar w:top="1418" w:right="1418"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9A0" w:rsidRDefault="002A19A0">
      <w:r>
        <w:separator/>
      </w:r>
    </w:p>
  </w:endnote>
  <w:endnote w:type="continuationSeparator" w:id="0">
    <w:p w:rsidR="002A19A0" w:rsidRDefault="002A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F" w:rsidRDefault="00F7663F">
    <w:pPr>
      <w:pStyle w:val="a4"/>
      <w:jc w:val="center"/>
    </w:pPr>
    <w:r>
      <w:rPr>
        <w:rStyle w:val="a5"/>
      </w:rPr>
      <w:fldChar w:fldCharType="begin"/>
    </w:r>
    <w:r>
      <w:rPr>
        <w:rStyle w:val="a5"/>
      </w:rPr>
      <w:instrText xml:space="preserve"> PAGE </w:instrText>
    </w:r>
    <w:r>
      <w:rPr>
        <w:rStyle w:val="a5"/>
      </w:rPr>
      <w:fldChar w:fldCharType="separate"/>
    </w:r>
    <w:r w:rsidR="00FC6FDB">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FC6FDB">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9A0" w:rsidRDefault="002A19A0">
      <w:r>
        <w:separator/>
      </w:r>
    </w:p>
  </w:footnote>
  <w:footnote w:type="continuationSeparator" w:id="0">
    <w:p w:rsidR="002A19A0" w:rsidRDefault="002A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63F" w:rsidRPr="00296EB6" w:rsidRDefault="00F7663F">
    <w:pPr>
      <w:pStyle w:val="a3"/>
      <w:rPr>
        <w:rFonts w:ascii="ＭＳ Ｐゴシック" w:eastAsia="ＭＳ Ｐゴシック" w:hAnsi="ＭＳ Ｐゴシック"/>
        <w:sz w:val="24"/>
        <w:szCs w:val="24"/>
      </w:rPr>
    </w:pPr>
    <w:r w:rsidRPr="00296EB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ビジュアリン</w:t>
    </w:r>
    <w:r w:rsidRPr="00296EB6">
      <w:rPr>
        <w:rFonts w:ascii="ＭＳ Ｐゴシック" w:eastAsia="ＭＳ Ｐゴシック" w:hAnsi="ＭＳ Ｐゴシック" w:hint="eastAsia"/>
        <w:sz w:val="24"/>
        <w:szCs w:val="24"/>
      </w:rPr>
      <w:t>点眼液0.</w:t>
    </w:r>
    <w:r>
      <w:rPr>
        <w:rFonts w:ascii="ＭＳ Ｐゴシック" w:eastAsia="ＭＳ Ｐゴシック" w:hAnsi="ＭＳ Ｐゴシック" w:hint="eastAsia"/>
        <w:sz w:val="24"/>
        <w:szCs w:val="24"/>
      </w:rPr>
      <w:t>02％</w:t>
    </w:r>
    <w:r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E6B"/>
    <w:rsid w:val="00041797"/>
    <w:rsid w:val="000F1637"/>
    <w:rsid w:val="001849B3"/>
    <w:rsid w:val="001D6890"/>
    <w:rsid w:val="002A19A0"/>
    <w:rsid w:val="00452E84"/>
    <w:rsid w:val="00646332"/>
    <w:rsid w:val="00667676"/>
    <w:rsid w:val="006D7E6B"/>
    <w:rsid w:val="007B502A"/>
    <w:rsid w:val="007F4DBF"/>
    <w:rsid w:val="00A148A5"/>
    <w:rsid w:val="00B0117F"/>
    <w:rsid w:val="00F7663F"/>
    <w:rsid w:val="00FA6F1D"/>
    <w:rsid w:val="00FC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015DBEEE-F504-4FC8-BD13-487FBAF1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75075">
      <w:bodyDiv w:val="1"/>
      <w:marLeft w:val="0"/>
      <w:marRight w:val="0"/>
      <w:marTop w:val="0"/>
      <w:marBottom w:val="0"/>
      <w:divBdr>
        <w:top w:val="none" w:sz="0" w:space="0" w:color="auto"/>
        <w:left w:val="none" w:sz="0" w:space="0" w:color="auto"/>
        <w:bottom w:val="none" w:sz="0" w:space="0" w:color="auto"/>
        <w:right w:val="none" w:sz="0" w:space="0" w:color="auto"/>
      </w:divBdr>
    </w:div>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214631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880</Words>
  <Characters>273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8</cp:revision>
  <cp:lastPrinted>2008-04-09T03:18:00Z</cp:lastPrinted>
  <dcterms:created xsi:type="dcterms:W3CDTF">2019-08-20T01:51:00Z</dcterms:created>
  <dcterms:modified xsi:type="dcterms:W3CDTF">2022-02-03T02:03:00Z</dcterms:modified>
</cp:coreProperties>
</file>