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86" w:type="dxa"/>
        <w:tblCellMar>
          <w:left w:w="99" w:type="dxa"/>
          <w:right w:w="99" w:type="dxa"/>
        </w:tblCellMar>
        <w:tblLook w:val="0000" w:firstRow="0" w:lastRow="0" w:firstColumn="0" w:lastColumn="0" w:noHBand="0" w:noVBand="0"/>
      </w:tblPr>
      <w:tblGrid>
        <w:gridCol w:w="2560"/>
        <w:gridCol w:w="218"/>
        <w:gridCol w:w="3042"/>
        <w:gridCol w:w="300"/>
        <w:gridCol w:w="3342"/>
        <w:gridCol w:w="218"/>
      </w:tblGrid>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bookmarkStart w:id="0" w:name="RANGE!A1:F67"/>
            <w:r w:rsidRPr="009C7055">
              <w:rPr>
                <w:rFonts w:ascii="ＭＳ Ｐゴシック" w:eastAsia="ＭＳ Ｐゴシック" w:hAnsi="ＭＳ Ｐゴシック" w:cs="ＭＳ Ｐゴシック" w:hint="eastAsia"/>
                <w:sz w:val="20"/>
              </w:rPr>
              <w:t>一般名</w:t>
            </w:r>
            <w:bookmarkStart w:id="1" w:name="_GoBack"/>
            <w:bookmarkEnd w:id="0"/>
            <w:bookmarkEnd w:id="1"/>
          </w:p>
        </w:tc>
        <w:tc>
          <w:tcPr>
            <w:tcW w:w="7120" w:type="dxa"/>
            <w:gridSpan w:val="5"/>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デキサメタゾンメタスルホ安息香酸エステルナトリウム</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剤　形</w:t>
            </w:r>
          </w:p>
        </w:tc>
        <w:tc>
          <w:tcPr>
            <w:tcW w:w="7120" w:type="dxa"/>
            <w:gridSpan w:val="5"/>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水性眼科耳鼻科用液剤</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薬効分類名</w:t>
            </w:r>
          </w:p>
        </w:tc>
        <w:tc>
          <w:tcPr>
            <w:tcW w:w="7120" w:type="dxa"/>
            <w:gridSpan w:val="5"/>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抗炎症ステロイド製剤</w:t>
            </w:r>
          </w:p>
        </w:tc>
      </w:tr>
      <w:tr w:rsidR="006736B1" w:rsidRPr="009C7055">
        <w:trPr>
          <w:trHeight w:val="500"/>
        </w:trPr>
        <w:tc>
          <w:tcPr>
            <w:tcW w:w="9680" w:type="dxa"/>
            <w:gridSpan w:val="6"/>
            <w:tcBorders>
              <w:top w:val="nil"/>
              <w:left w:val="nil"/>
              <w:bottom w:val="single" w:sz="4" w:space="0" w:color="auto"/>
              <w:right w:val="nil"/>
            </w:tcBorders>
            <w:shd w:val="clear" w:color="auto" w:fill="auto"/>
            <w:noWrap/>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眼科用</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後発医薬品</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先発医薬品</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製品名</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製造販売会社名</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千寿製薬株式会社</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　価</w:t>
            </w:r>
          </w:p>
        </w:tc>
        <w:tc>
          <w:tcPr>
            <w:tcW w:w="3560" w:type="dxa"/>
            <w:gridSpan w:val="3"/>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rsidP="00A742FB">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0.1％</w:t>
            </w:r>
            <w:r w:rsidR="003A5E1F">
              <w:rPr>
                <w:rFonts w:ascii="ＭＳ Ｐゴシック" w:eastAsia="ＭＳ Ｐゴシック" w:hAnsi="ＭＳ Ｐゴシック" w:cs="ＭＳ Ｐゴシック" w:hint="eastAsia"/>
                <w:sz w:val="20"/>
              </w:rPr>
              <w:t xml:space="preserve"> </w:t>
            </w:r>
            <w:r w:rsidRPr="009C7055">
              <w:rPr>
                <w:rFonts w:ascii="ＭＳ Ｐゴシック" w:eastAsia="ＭＳ Ｐゴシック" w:hAnsi="ＭＳ Ｐゴシック" w:cs="ＭＳ Ｐゴシック" w:hint="eastAsia"/>
                <w:sz w:val="20"/>
              </w:rPr>
              <w:t xml:space="preserve">1mL　</w:t>
            </w:r>
            <w:r w:rsidR="006E2B3A" w:rsidRPr="0074141D">
              <w:rPr>
                <w:rFonts w:ascii="ＭＳ Ｐゴシック" w:eastAsia="ＭＳ Ｐゴシック" w:hAnsi="ＭＳ Ｐゴシック" w:cs="ＭＳ Ｐゴシック" w:hint="eastAsia"/>
                <w:sz w:val="20"/>
              </w:rPr>
              <w:t>3</w:t>
            </w:r>
            <w:r w:rsidR="00A70147" w:rsidRPr="0074141D">
              <w:rPr>
                <w:rFonts w:ascii="ＭＳ Ｐゴシック" w:eastAsia="ＭＳ Ｐゴシック" w:hAnsi="ＭＳ Ｐゴシック" w:cs="ＭＳ Ｐゴシック" w:hint="eastAsia"/>
                <w:sz w:val="20"/>
              </w:rPr>
              <w:t>4</w:t>
            </w:r>
            <w:r w:rsidR="006E2B3A" w:rsidRPr="0074141D">
              <w:rPr>
                <w:rFonts w:ascii="ＭＳ Ｐゴシック" w:eastAsia="ＭＳ Ｐゴシック" w:hAnsi="ＭＳ Ｐゴシック" w:cs="ＭＳ Ｐゴシック" w:hint="eastAsia"/>
                <w:sz w:val="20"/>
              </w:rPr>
              <w:t>.80</w:t>
            </w:r>
            <w:r w:rsidR="006E2B3A" w:rsidRPr="006E2B3A">
              <w:rPr>
                <w:rFonts w:ascii="ＭＳ Ｐゴシック" w:eastAsia="ＭＳ Ｐゴシック" w:hAnsi="ＭＳ Ｐゴシック" w:cs="ＭＳ Ｐゴシック" w:hint="eastAsia"/>
                <w:sz w:val="20"/>
              </w:rPr>
              <w:t>円</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900"/>
        </w:trPr>
        <w:tc>
          <w:tcPr>
            <w:tcW w:w="2560" w:type="dxa"/>
            <w:tcBorders>
              <w:top w:val="single" w:sz="4" w:space="0" w:color="auto"/>
              <w:left w:val="single" w:sz="4" w:space="0" w:color="auto"/>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成分・含量（１ｍL中）</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デキサメタゾンメタスルホ安息香酸</w:t>
            </w:r>
            <w:r w:rsidRPr="009C7055">
              <w:rPr>
                <w:rFonts w:ascii="ＭＳ Ｐゴシック" w:eastAsia="ＭＳ Ｐゴシック" w:hAnsi="ＭＳ Ｐゴシック" w:cs="ＭＳ Ｐゴシック" w:hint="eastAsia"/>
                <w:sz w:val="20"/>
              </w:rPr>
              <w:br/>
              <w:t>エステルナトリウム 1.5mg</w:t>
            </w:r>
            <w:r w:rsidRPr="009C7055">
              <w:rPr>
                <w:rFonts w:ascii="ＭＳ Ｐゴシック" w:eastAsia="ＭＳ Ｐゴシック" w:hAnsi="ＭＳ Ｐゴシック" w:cs="ＭＳ Ｐゴシック" w:hint="eastAsia"/>
                <w:sz w:val="20"/>
              </w:rPr>
              <w:br/>
              <w:t>（デキサメタゾンとして 1mg）</w:t>
            </w:r>
          </w:p>
        </w:tc>
        <w:tc>
          <w:tcPr>
            <w:tcW w:w="3560" w:type="dxa"/>
            <w:gridSpan w:val="2"/>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添加物</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濃グリセリン、パラオキシ安息香酸プロピル、パラオキシ安息香酸メチル、クロロブタノール、酢酸ナトリウム水和物、酢酸</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性状（　色　）</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無色澄明</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pH</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3.7 ～ 5.2</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貯　法</w:t>
            </w:r>
          </w:p>
        </w:tc>
        <w:tc>
          <w:tcPr>
            <w:tcW w:w="3560" w:type="dxa"/>
            <w:gridSpan w:val="3"/>
            <w:tcBorders>
              <w:top w:val="single" w:sz="4" w:space="0" w:color="auto"/>
              <w:left w:val="nil"/>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1.室温保存</w:t>
            </w:r>
            <w:r w:rsidRPr="009C7055">
              <w:rPr>
                <w:rFonts w:ascii="ＭＳ Ｐゴシック" w:eastAsia="ＭＳ Ｐゴシック" w:hAnsi="ＭＳ Ｐゴシック" w:cs="ＭＳ Ｐゴシック" w:hint="eastAsia"/>
                <w:sz w:val="20"/>
              </w:rPr>
              <w:br/>
              <w:t>2.外箱開封後は、遮光して保存すること。</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品質再評価</w:t>
            </w:r>
          </w:p>
        </w:tc>
        <w:tc>
          <w:tcPr>
            <w:tcW w:w="7120" w:type="dxa"/>
            <w:gridSpan w:val="5"/>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該当しない。</w:t>
            </w:r>
          </w:p>
        </w:tc>
      </w:tr>
      <w:tr w:rsidR="006736B1" w:rsidRPr="009C7055">
        <w:trPr>
          <w:trHeight w:val="403"/>
        </w:trPr>
        <w:tc>
          <w:tcPr>
            <w:tcW w:w="2560" w:type="dxa"/>
            <w:vMerge w:val="restart"/>
            <w:tcBorders>
              <w:top w:val="single" w:sz="4" w:space="0" w:color="auto"/>
              <w:left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生物学的</w:t>
            </w:r>
            <w:r w:rsidRPr="009C7055">
              <w:rPr>
                <w:rFonts w:ascii="ＭＳ Ｐゴシック" w:eastAsia="ＭＳ Ｐゴシック" w:hAnsi="ＭＳ Ｐゴシック" w:cs="ＭＳ Ｐゴシック" w:hint="eastAsia"/>
                <w:sz w:val="20"/>
              </w:rPr>
              <w:br/>
              <w:t>同等性試験</w:t>
            </w:r>
          </w:p>
        </w:tc>
        <w:tc>
          <w:tcPr>
            <w:tcW w:w="7120" w:type="dxa"/>
            <w:gridSpan w:val="5"/>
            <w:tcBorders>
              <w:top w:val="single" w:sz="4" w:space="0" w:color="auto"/>
              <w:left w:val="nil"/>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【薬効薬理】：抗炎症作用</w:t>
            </w:r>
          </w:p>
        </w:tc>
      </w:tr>
      <w:tr w:rsidR="006736B1" w:rsidRPr="009C7055">
        <w:trPr>
          <w:trHeight w:val="1560"/>
        </w:trPr>
        <w:tc>
          <w:tcPr>
            <w:tcW w:w="2560" w:type="dxa"/>
            <w:vMerge/>
            <w:tcBorders>
              <w:left w:val="single" w:sz="4" w:space="0" w:color="auto"/>
              <w:right w:val="single" w:sz="4" w:space="0" w:color="000000"/>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（１）ラットのクロトン油誘発結膜炎モデル</w:t>
            </w:r>
            <w:r w:rsidRPr="009C7055">
              <w:rPr>
                <w:rFonts w:ascii="ＭＳ Ｐゴシック" w:eastAsia="ＭＳ Ｐゴシック" w:hAnsi="ＭＳ Ｐゴシック" w:cs="ＭＳ Ｐゴシック" w:hint="eastAsia"/>
                <w:sz w:val="20"/>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r>
      <w:tr w:rsidR="006736B1" w:rsidRPr="009C7055">
        <w:trPr>
          <w:trHeight w:val="403"/>
        </w:trPr>
        <w:tc>
          <w:tcPr>
            <w:tcW w:w="2560" w:type="dxa"/>
            <w:vMerge/>
            <w:tcBorders>
              <w:left w:val="single" w:sz="4" w:space="0" w:color="auto"/>
              <w:right w:val="single" w:sz="4" w:space="0" w:color="000000"/>
            </w:tcBorders>
            <w:vAlign w:val="center"/>
          </w:tcPr>
          <w:p w:rsidR="006736B1" w:rsidRPr="009C7055" w:rsidRDefault="006736B1">
            <w:pPr>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上部眼瞼重量（mg）</w:t>
            </w:r>
          </w:p>
        </w:tc>
        <w:tc>
          <w:tcPr>
            <w:tcW w:w="218" w:type="dxa"/>
            <w:vMerge w:val="restart"/>
            <w:tcBorders>
              <w:top w:val="nil"/>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right w:val="single" w:sz="4" w:space="0" w:color="000000"/>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26.87 ± 4.80</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right w:val="single" w:sz="4" w:space="0" w:color="000000"/>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標準製剤（点眼液、0.1％）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29.30 ± 3.97</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auto"/>
              <w:right w:val="single" w:sz="4" w:space="0" w:color="000000"/>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left w:val="nil"/>
              <w:bottom w:val="single" w:sz="4" w:space="0" w:color="auto"/>
              <w:right w:val="single" w:sz="4" w:space="0" w:color="auto"/>
            </w:tcBorders>
            <w:shd w:val="clear" w:color="auto" w:fill="auto"/>
            <w:vAlign w:val="center"/>
          </w:tcPr>
          <w:p w:rsidR="006736B1" w:rsidRPr="009C7055" w:rsidRDefault="006736B1">
            <w:pPr>
              <w:widowControl/>
              <w:jc w:val="righ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（平均値±標準偏差，ｎ＝10）</w:t>
            </w:r>
          </w:p>
        </w:tc>
      </w:tr>
      <w:tr w:rsidR="006736B1" w:rsidRPr="009C7055">
        <w:trPr>
          <w:trHeight w:val="3650"/>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lastRenderedPageBreak/>
              <w:t>生物学的</w:t>
            </w:r>
            <w:r w:rsidRPr="009C7055">
              <w:rPr>
                <w:rFonts w:ascii="ＭＳ Ｐゴシック" w:eastAsia="ＭＳ Ｐゴシック" w:hAnsi="ＭＳ Ｐゴシック" w:cs="ＭＳ Ｐゴシック" w:hint="eastAsia"/>
                <w:sz w:val="20"/>
              </w:rPr>
              <w:br w:type="page"/>
            </w:r>
          </w:p>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同等性試験</w:t>
            </w:r>
          </w:p>
        </w:tc>
        <w:tc>
          <w:tcPr>
            <w:tcW w:w="7120" w:type="dxa"/>
            <w:gridSpan w:val="5"/>
            <w:tcBorders>
              <w:top w:val="single" w:sz="4" w:space="0" w:color="auto"/>
              <w:left w:val="single" w:sz="4" w:space="0" w:color="auto"/>
              <w:right w:val="single" w:sz="4" w:space="0" w:color="auto"/>
            </w:tcBorders>
            <w:shd w:val="clear" w:color="auto" w:fill="auto"/>
            <w:vAlign w:val="center"/>
          </w:tcPr>
          <w:p w:rsidR="006736B1"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（２）ウサギの牛血清アルブミン誘発ブドウ膜炎モデル</w:t>
            </w:r>
            <w:r w:rsidRPr="009C7055">
              <w:rPr>
                <w:rFonts w:ascii="ＭＳ Ｐゴシック" w:eastAsia="ＭＳ Ｐゴシック" w:hAnsi="ＭＳ Ｐゴシック" w:cs="ＭＳ Ｐゴシック" w:hint="eastAsia"/>
                <w:sz w:val="20"/>
              </w:rPr>
              <w:br w:type="page"/>
            </w:r>
          </w:p>
          <w:p w:rsidR="006736B1" w:rsidRDefault="006736B1">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ウサギの</w:t>
            </w:r>
            <w:r w:rsidRPr="009C7055">
              <w:rPr>
                <w:rFonts w:ascii="ＭＳ Ｐゴシック" w:eastAsia="ＭＳ Ｐゴシック" w:hAnsi="ＭＳ Ｐゴシック" w:cs="ＭＳ Ｐゴシック" w:hint="eastAsia"/>
                <w:sz w:val="20"/>
              </w:rPr>
              <w:t>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15、16、17日目の合計点数の平均値（表１）、30日目の合計点数（表２）及び30日目（ブドウ膜炎再発24時間後）に採取した房水の蛋白濃度（表３）について、ｔ検定にて統計解析を行った。いずれの結果においても、本剤と標準製剤間に有意な差は認められず、両剤の生物学的同等性が確認された。</w:t>
            </w:r>
          </w:p>
          <w:p w:rsidR="006736B1" w:rsidRPr="009C7055" w:rsidRDefault="006736B1">
            <w:pPr>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（表１）</w:t>
            </w:r>
          </w:p>
        </w:tc>
      </w:tr>
      <w:tr w:rsidR="006736B1" w:rsidRPr="009C7055">
        <w:trPr>
          <w:trHeight w:val="397"/>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15、16、17日目の合計点数の平均値</w:t>
            </w:r>
          </w:p>
        </w:tc>
        <w:tc>
          <w:tcPr>
            <w:tcW w:w="218" w:type="dxa"/>
            <w:vMerge w:val="restart"/>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color w:val="000000"/>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3.7 ± 2.2</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標準製剤（点眼液、0.1％）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4.9 ± 4.4</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810"/>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right w:val="single" w:sz="4" w:space="0" w:color="auto"/>
            </w:tcBorders>
            <w:shd w:val="clear" w:color="auto" w:fill="auto"/>
            <w:noWrap/>
            <w:vAlign w:val="center"/>
          </w:tcPr>
          <w:p w:rsidR="006736B1" w:rsidRPr="009C7055" w:rsidRDefault="006736B1">
            <w:pPr>
              <w:widowControl/>
              <w:jc w:val="righ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（平均値±標準偏差，ｎ＝5）</w:t>
            </w:r>
          </w:p>
          <w:p w:rsidR="006736B1" w:rsidRPr="009C7055" w:rsidRDefault="006736B1">
            <w:pPr>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sz w:val="20"/>
              </w:rPr>
              <w:t>（表２）</w:t>
            </w: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30日目の合計点数</w:t>
            </w:r>
          </w:p>
        </w:tc>
        <w:tc>
          <w:tcPr>
            <w:tcW w:w="218" w:type="dxa"/>
            <w:vMerge w:val="restart"/>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2.2 ± 0.9</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標準製剤（点眼液、0.1％）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4.7 ± 5.3</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810"/>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right w:val="single" w:sz="4" w:space="0" w:color="auto"/>
            </w:tcBorders>
            <w:shd w:val="clear" w:color="auto" w:fill="auto"/>
            <w:noWrap/>
            <w:vAlign w:val="center"/>
          </w:tcPr>
          <w:p w:rsidR="006736B1" w:rsidRPr="009C7055" w:rsidRDefault="006736B1">
            <w:pPr>
              <w:widowControl/>
              <w:jc w:val="righ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（平均値±標準偏差，ｎ＝5）</w:t>
            </w:r>
          </w:p>
          <w:p w:rsidR="006736B1" w:rsidRPr="009C7055" w:rsidRDefault="006736B1">
            <w:pPr>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sz w:val="20"/>
              </w:rPr>
              <w:t>（表３）</w:t>
            </w: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30日目の房水蛋白濃度（mg/mL）</w:t>
            </w:r>
          </w:p>
        </w:tc>
        <w:tc>
          <w:tcPr>
            <w:tcW w:w="218" w:type="dxa"/>
            <w:vMerge w:val="restart"/>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1.78 ± 0.63</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auto"/>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標準製剤（点眼液、0.1％）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3.48 ± 3.81</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left w:val="single" w:sz="4" w:space="0" w:color="auto"/>
              <w:bottom w:val="single" w:sz="4" w:space="0" w:color="auto"/>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righ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（平均値±標準偏差，ｎ＝5）</w:t>
            </w:r>
          </w:p>
        </w:tc>
      </w:tr>
      <w:tr w:rsidR="006736B1" w:rsidRPr="009C7055">
        <w:trPr>
          <w:trHeight w:val="524"/>
        </w:trPr>
        <w:tc>
          <w:tcPr>
            <w:tcW w:w="9680" w:type="dxa"/>
            <w:gridSpan w:val="6"/>
            <w:tcBorders>
              <w:right w:val="nil"/>
            </w:tcBorders>
            <w:shd w:val="clear" w:color="auto" w:fill="auto"/>
            <w:vAlign w:val="center"/>
          </w:tcPr>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p>
          <w:p w:rsidR="006736B1" w:rsidRDefault="006736B1">
            <w:pPr>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lastRenderedPageBreak/>
              <w:t>耳鼻科用</w:t>
            </w: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lastRenderedPageBreak/>
              <w:t xml:space="preserve">　</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後発医薬品</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先発医薬品</w:t>
            </w:r>
          </w:p>
        </w:tc>
      </w:tr>
      <w:tr w:rsidR="006736B1" w:rsidRPr="009C7055">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製品名</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製造販売会社名</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千寿製薬株式会社</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　価</w:t>
            </w:r>
          </w:p>
        </w:tc>
        <w:tc>
          <w:tcPr>
            <w:tcW w:w="3560" w:type="dxa"/>
            <w:gridSpan w:val="3"/>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rsidP="00A742FB">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0.1％</w:t>
            </w:r>
            <w:r w:rsidR="003A5E1F">
              <w:rPr>
                <w:rFonts w:ascii="ＭＳ Ｐゴシック" w:eastAsia="ＭＳ Ｐゴシック" w:hAnsi="ＭＳ Ｐゴシック" w:cs="ＭＳ Ｐゴシック" w:hint="eastAsia"/>
                <w:sz w:val="20"/>
              </w:rPr>
              <w:t xml:space="preserve"> </w:t>
            </w:r>
            <w:r w:rsidRPr="009C7055">
              <w:rPr>
                <w:rFonts w:ascii="ＭＳ Ｐゴシック" w:eastAsia="ＭＳ Ｐゴシック" w:hAnsi="ＭＳ Ｐゴシック" w:cs="ＭＳ Ｐゴシック" w:hint="eastAsia"/>
                <w:sz w:val="20"/>
              </w:rPr>
              <w:t>1mL</w:t>
            </w:r>
            <w:r w:rsidRPr="00375650">
              <w:rPr>
                <w:rFonts w:ascii="ＭＳ Ｐゴシック" w:eastAsia="ＭＳ Ｐゴシック" w:hAnsi="ＭＳ Ｐゴシック" w:cs="ＭＳ Ｐゴシック" w:hint="eastAsia"/>
                <w:sz w:val="20"/>
              </w:rPr>
              <w:t xml:space="preserve">　</w:t>
            </w:r>
            <w:r w:rsidR="006E2B3A" w:rsidRPr="0074141D">
              <w:rPr>
                <w:rFonts w:ascii="ＭＳ Ｐゴシック" w:eastAsia="ＭＳ Ｐゴシック" w:hAnsi="ＭＳ Ｐゴシック" w:cs="ＭＳ Ｐゴシック" w:hint="eastAsia"/>
                <w:sz w:val="20"/>
              </w:rPr>
              <w:t>3</w:t>
            </w:r>
            <w:r w:rsidR="00A70147" w:rsidRPr="0074141D">
              <w:rPr>
                <w:rFonts w:ascii="ＭＳ Ｐゴシック" w:eastAsia="ＭＳ Ｐゴシック" w:hAnsi="ＭＳ Ｐゴシック" w:cs="ＭＳ Ｐゴシック" w:hint="eastAsia"/>
                <w:sz w:val="20"/>
              </w:rPr>
              <w:t>4</w:t>
            </w:r>
            <w:r w:rsidR="006E2B3A" w:rsidRPr="0074141D">
              <w:rPr>
                <w:rFonts w:ascii="ＭＳ Ｐゴシック" w:eastAsia="ＭＳ Ｐゴシック" w:hAnsi="ＭＳ Ｐゴシック" w:cs="ＭＳ Ｐゴシック" w:hint="eastAsia"/>
                <w:sz w:val="20"/>
              </w:rPr>
              <w:t>.80</w:t>
            </w:r>
            <w:r w:rsidR="006E2B3A" w:rsidRPr="006E2B3A">
              <w:rPr>
                <w:rFonts w:ascii="ＭＳ Ｐゴシック" w:eastAsia="ＭＳ Ｐゴシック" w:hAnsi="ＭＳ Ｐゴシック" w:cs="ＭＳ Ｐゴシック" w:hint="eastAsia"/>
                <w:sz w:val="20"/>
              </w:rPr>
              <w:t>円</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1599"/>
        </w:trPr>
        <w:tc>
          <w:tcPr>
            <w:tcW w:w="2560" w:type="dxa"/>
            <w:tcBorders>
              <w:top w:val="single" w:sz="4" w:space="0" w:color="auto"/>
              <w:left w:val="single" w:sz="4" w:space="0" w:color="auto"/>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成分・含量</w:t>
            </w:r>
            <w:r w:rsidRPr="009C7055">
              <w:rPr>
                <w:rFonts w:ascii="ＭＳ Ｐゴシック" w:eastAsia="ＭＳ Ｐゴシック" w:hAnsi="ＭＳ Ｐゴシック" w:cs="ＭＳ Ｐゴシック" w:hint="eastAsia"/>
                <w:sz w:val="20"/>
              </w:rPr>
              <w:br/>
              <w:t>（１ｍL中）</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デキサメタゾンメタスルホ安息香酸</w:t>
            </w:r>
            <w:r w:rsidRPr="009C7055">
              <w:rPr>
                <w:rFonts w:ascii="ＭＳ Ｐゴシック" w:eastAsia="ＭＳ Ｐゴシック" w:hAnsi="ＭＳ Ｐゴシック" w:cs="ＭＳ Ｐゴシック" w:hint="eastAsia"/>
                <w:sz w:val="20"/>
              </w:rPr>
              <w:br/>
              <w:t>エステルナトリウム 1.5mg</w:t>
            </w:r>
            <w:r w:rsidRPr="009C7055">
              <w:rPr>
                <w:rFonts w:ascii="ＭＳ Ｐゴシック" w:eastAsia="ＭＳ Ｐゴシック" w:hAnsi="ＭＳ Ｐゴシック" w:cs="ＭＳ Ｐゴシック" w:hint="eastAsia"/>
                <w:sz w:val="20"/>
              </w:rPr>
              <w:br/>
              <w:t>（デキサメタゾンとして 1mg）</w:t>
            </w:r>
          </w:p>
        </w:tc>
        <w:tc>
          <w:tcPr>
            <w:tcW w:w="3560" w:type="dxa"/>
            <w:gridSpan w:val="2"/>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1003"/>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添加物</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濃グリセリン、パラオキシ安息香酸プロピル、パラオキシ安息香酸メチル、クロロブタノール、酢酸ナトリウム水和物、酢酸</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性状（　色　）</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無色澄明</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pH</w:t>
            </w:r>
          </w:p>
        </w:tc>
        <w:tc>
          <w:tcPr>
            <w:tcW w:w="3560" w:type="dxa"/>
            <w:gridSpan w:val="3"/>
            <w:tcBorders>
              <w:top w:val="single" w:sz="4" w:space="0" w:color="auto"/>
              <w:left w:val="nil"/>
              <w:bottom w:val="single" w:sz="4" w:space="0" w:color="auto"/>
              <w:right w:val="single" w:sz="4" w:space="0" w:color="000000"/>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3.7 ～ 5.2</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貯　法</w:t>
            </w:r>
          </w:p>
        </w:tc>
        <w:tc>
          <w:tcPr>
            <w:tcW w:w="3560" w:type="dxa"/>
            <w:gridSpan w:val="3"/>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1.室温保存</w:t>
            </w:r>
            <w:r w:rsidRPr="009C7055">
              <w:rPr>
                <w:rFonts w:ascii="ＭＳ Ｐゴシック" w:eastAsia="ＭＳ Ｐゴシック" w:hAnsi="ＭＳ Ｐゴシック" w:cs="ＭＳ Ｐゴシック" w:hint="eastAsia"/>
                <w:sz w:val="20"/>
              </w:rPr>
              <w:br/>
              <w:t>2.外箱開封後は、遮光して保存すること。</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品質再評価</w:t>
            </w:r>
          </w:p>
        </w:tc>
        <w:tc>
          <w:tcPr>
            <w:tcW w:w="3560" w:type="dxa"/>
            <w:gridSpan w:val="3"/>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該当しない。</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生物学的</w:t>
            </w:r>
            <w:r w:rsidRPr="009C7055">
              <w:rPr>
                <w:rFonts w:ascii="ＭＳ Ｐゴシック" w:eastAsia="ＭＳ Ｐゴシック" w:hAnsi="ＭＳ Ｐゴシック" w:cs="ＭＳ Ｐゴシック" w:hint="eastAsia"/>
                <w:sz w:val="20"/>
              </w:rPr>
              <w:br/>
              <w:t>同等性試験</w:t>
            </w:r>
          </w:p>
          <w:p w:rsidR="006736B1" w:rsidRPr="009C7055" w:rsidRDefault="006736B1">
            <w:pPr>
              <w:widowControl/>
              <w:rPr>
                <w:rFonts w:ascii="ＭＳ Ｐゴシック" w:eastAsia="ＭＳ Ｐゴシック" w:hAnsi="ＭＳ Ｐゴシック" w:cs="ＭＳ Ｐゴシック"/>
                <w:sz w:val="20"/>
              </w:rPr>
            </w:pPr>
          </w:p>
        </w:tc>
        <w:tc>
          <w:tcPr>
            <w:tcW w:w="3260" w:type="dxa"/>
            <w:gridSpan w:val="2"/>
            <w:tcBorders>
              <w:top w:val="single" w:sz="4" w:space="0" w:color="auto"/>
              <w:left w:val="single" w:sz="4" w:space="0" w:color="auto"/>
              <w:bottom w:val="nil"/>
              <w:right w:val="nil"/>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耳</w:t>
            </w:r>
          </w:p>
        </w:tc>
        <w:tc>
          <w:tcPr>
            <w:tcW w:w="3860" w:type="dxa"/>
            <w:gridSpan w:val="3"/>
            <w:tcBorders>
              <w:top w:val="single" w:sz="4" w:space="0" w:color="auto"/>
              <w:left w:val="nil"/>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 xml:space="preserve">　</w:t>
            </w: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【薬効薬理】：抗炎症作用</w:t>
            </w:r>
          </w:p>
        </w:tc>
      </w:tr>
      <w:tr w:rsidR="006736B1" w:rsidRPr="009C7055">
        <w:trPr>
          <w:trHeight w:val="1800"/>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モルモットの酢酸による中耳骨胞内粘膜血管透過性亢進モデル</w:t>
            </w:r>
            <w:r w:rsidRPr="009C7055">
              <w:rPr>
                <w:rFonts w:ascii="ＭＳ Ｐゴシック" w:eastAsia="ＭＳ Ｐゴシック" w:hAnsi="ＭＳ Ｐゴシック" w:cs="ＭＳ Ｐゴシック" w:hint="eastAsia"/>
                <w:sz w:val="20"/>
              </w:rPr>
              <w:br/>
              <w:t>モルモットの酢酸による中耳骨胞内粘膜血管透過性亢進モデルにおいて、漏出した色素量を中耳の炎症抑制作用の指標とし、本剤及び標準製剤について得られた色素量をt検定にて統計解析を行った。その結果、本剤と標準製剤間に有意な差は認められず、両剤の生物学的同等性が確認された。</w:t>
            </w: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漏出色素量（μg/site）</w:t>
            </w:r>
          </w:p>
        </w:tc>
        <w:tc>
          <w:tcPr>
            <w:tcW w:w="218" w:type="dxa"/>
            <w:vMerge w:val="restart"/>
            <w:tcBorders>
              <w:top w:val="nil"/>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21.9 ± 3.6</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600"/>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p>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w:t>
            </w:r>
            <w:r w:rsidRPr="009C7055">
              <w:rPr>
                <w:rFonts w:ascii="ＭＳ Ｐゴシック" w:eastAsia="ＭＳ Ｐゴシック" w:hAnsi="ＭＳ Ｐゴシック" w:cs="ＭＳ Ｐゴシック" w:hint="eastAsia"/>
                <w:sz w:val="20"/>
              </w:rPr>
              <w:br/>
              <w:t>（点眼点耳点鼻用液、0.1％）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24.1 ± 2.8</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left w:val="single" w:sz="4" w:space="0" w:color="auto"/>
              <w:bottom w:val="single" w:sz="4" w:space="0" w:color="auto"/>
              <w:right w:val="single" w:sz="4" w:space="0" w:color="auto"/>
            </w:tcBorders>
            <w:shd w:val="clear" w:color="auto" w:fill="auto"/>
            <w:vAlign w:val="center"/>
          </w:tcPr>
          <w:p w:rsidR="006736B1" w:rsidRDefault="006736B1">
            <w:pPr>
              <w:widowControl/>
              <w:jc w:val="righ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（平均値±標準誤差，ｎ＝6）</w:t>
            </w:r>
          </w:p>
          <w:p w:rsidR="006736B1" w:rsidRDefault="006736B1">
            <w:pPr>
              <w:widowControl/>
              <w:jc w:val="right"/>
              <w:rPr>
                <w:rFonts w:ascii="ＭＳ Ｐゴシック" w:eastAsia="ＭＳ Ｐゴシック" w:hAnsi="ＭＳ Ｐゴシック" w:cs="ＭＳ Ｐゴシック"/>
                <w:sz w:val="20"/>
              </w:rPr>
            </w:pPr>
          </w:p>
          <w:p w:rsidR="006736B1" w:rsidRDefault="006736B1">
            <w:pPr>
              <w:widowControl/>
              <w:jc w:val="right"/>
              <w:rPr>
                <w:rFonts w:ascii="ＭＳ Ｐゴシック" w:eastAsia="ＭＳ Ｐゴシック" w:hAnsi="ＭＳ Ｐゴシック" w:cs="ＭＳ Ｐゴシック"/>
                <w:sz w:val="20"/>
              </w:rPr>
            </w:pPr>
          </w:p>
          <w:p w:rsidR="006736B1" w:rsidRPr="005D12D8" w:rsidRDefault="006736B1">
            <w:pPr>
              <w:widowControl/>
              <w:jc w:val="right"/>
              <w:rPr>
                <w:rFonts w:ascii="ＭＳ Ｐゴシック" w:eastAsia="ＭＳ Ｐゴシック" w:hAnsi="ＭＳ Ｐゴシック" w:cs="ＭＳ Ｐゴシック"/>
                <w:sz w:val="20"/>
              </w:rPr>
            </w:pPr>
          </w:p>
        </w:tc>
      </w:tr>
      <w:tr w:rsidR="006736B1" w:rsidRPr="009C7055">
        <w:trPr>
          <w:trHeight w:val="403"/>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生物学的</w:t>
            </w:r>
            <w:r w:rsidRPr="009C7055">
              <w:rPr>
                <w:rFonts w:ascii="ＭＳ Ｐゴシック" w:eastAsia="ＭＳ Ｐゴシック" w:hAnsi="ＭＳ Ｐゴシック" w:cs="ＭＳ Ｐゴシック" w:hint="eastAsia"/>
                <w:sz w:val="20"/>
              </w:rPr>
              <w:br w:type="page"/>
            </w:r>
          </w:p>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同等性試験</w:t>
            </w:r>
          </w:p>
        </w:tc>
        <w:tc>
          <w:tcPr>
            <w:tcW w:w="7120" w:type="dxa"/>
            <w:gridSpan w:val="5"/>
            <w:tcBorders>
              <w:top w:val="single" w:sz="4" w:space="0" w:color="auto"/>
              <w:left w:val="single" w:sz="4" w:space="0" w:color="auto"/>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 xml:space="preserve">鼻　</w:t>
            </w: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bottom w:val="nil"/>
              <w:right w:val="single" w:sz="4" w:space="0" w:color="auto"/>
            </w:tcBorders>
            <w:shd w:val="clear" w:color="auto" w:fill="auto"/>
            <w:vAlign w:val="center"/>
          </w:tcPr>
          <w:p w:rsidR="006736B1" w:rsidRPr="009C7055" w:rsidRDefault="006736B1">
            <w:pPr>
              <w:widowControl/>
              <w:jc w:val="left"/>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color w:val="000000"/>
                <w:sz w:val="20"/>
              </w:rPr>
              <w:t>【薬効薬理】：抗炎症作用</w:t>
            </w:r>
          </w:p>
        </w:tc>
      </w:tr>
      <w:tr w:rsidR="006736B1" w:rsidRPr="009C7055">
        <w:trPr>
          <w:trHeight w:val="1800"/>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top w:val="nil"/>
              <w:left w:val="single" w:sz="4" w:space="0" w:color="auto"/>
              <w:right w:val="single" w:sz="4" w:space="0" w:color="auto"/>
            </w:tcBorders>
            <w:shd w:val="clear" w:color="auto" w:fill="auto"/>
            <w:vAlign w:val="center"/>
          </w:tcPr>
          <w:p w:rsidR="006736B1" w:rsidRDefault="006736B1">
            <w:pPr>
              <w:widowControl/>
              <w:ind w:right="-91"/>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ラットの酢酸による鼻粘膜毛細血管透過性亢進モデル</w:t>
            </w:r>
            <w:r w:rsidRPr="009C7055">
              <w:rPr>
                <w:rFonts w:ascii="ＭＳ Ｐゴシック" w:eastAsia="ＭＳ Ｐゴシック" w:hAnsi="ＭＳ Ｐゴシック" w:cs="ＭＳ Ｐゴシック" w:hint="eastAsia"/>
                <w:sz w:val="20"/>
              </w:rPr>
              <w:br/>
              <w:t>ラットの酢酸による鼻粘膜毛細血管透過性亢進モデルにおいて、漏出した色素量を鼻粘膜の炎症抑制作用の指標とし、本剤及び標準製剤について得られた色素量を</w:t>
            </w:r>
          </w:p>
          <w:p w:rsidR="006736B1" w:rsidRPr="009C7055" w:rsidRDefault="006736B1">
            <w:pPr>
              <w:widowControl/>
              <w:ind w:right="-91"/>
              <w:jc w:val="lef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t検定にて統計解析を行った。その結果、本剤と標準製剤間に有意な差は認められず、両剤の生物学的同等性が確認された。</w:t>
            </w: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Pr="009C7055" w:rsidRDefault="006736B1">
            <w:pPr>
              <w:widowControl/>
              <w:rPr>
                <w:rFonts w:ascii="ＭＳ Ｐゴシック" w:eastAsia="ＭＳ Ｐゴシック" w:hAnsi="ＭＳ Ｐゴシック" w:cs="ＭＳ Ｐゴシック"/>
                <w:sz w:val="20"/>
              </w:rPr>
            </w:pPr>
          </w:p>
        </w:tc>
        <w:tc>
          <w:tcPr>
            <w:tcW w:w="3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6B1" w:rsidRPr="009C7055" w:rsidRDefault="006736B1">
            <w:pPr>
              <w:rPr>
                <w:rFonts w:ascii="ＭＳ Ｐゴシック" w:eastAsia="ＭＳ Ｐゴシック" w:hAnsi="ＭＳ Ｐゴシック" w:cs="ＭＳ Ｐゴシック"/>
                <w:sz w:val="20"/>
              </w:rPr>
            </w:pPr>
          </w:p>
        </w:tc>
        <w:tc>
          <w:tcPr>
            <w:tcW w:w="3342" w:type="dxa"/>
            <w:tcBorders>
              <w:top w:val="single" w:sz="4" w:space="0" w:color="auto"/>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漏出色素量（μg/site）</w:t>
            </w:r>
          </w:p>
        </w:tc>
        <w:tc>
          <w:tcPr>
            <w:tcW w:w="218" w:type="dxa"/>
            <w:vMerge w:val="restart"/>
            <w:tcBorders>
              <w:top w:val="nil"/>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47.4 ± 5.2</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600"/>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218" w:type="dxa"/>
            <w:tcBorders>
              <w:top w:val="nil"/>
              <w:left w:val="single" w:sz="4" w:space="0" w:color="auto"/>
              <w:right w:val="single" w:sz="4" w:space="0" w:color="auto"/>
            </w:tcBorders>
            <w:shd w:val="clear" w:color="auto" w:fill="auto"/>
            <w:vAlign w:val="center"/>
          </w:tcPr>
          <w:p w:rsidR="006736B1" w:rsidRDefault="006736B1">
            <w:pPr>
              <w:widowControl/>
              <w:jc w:val="center"/>
              <w:rPr>
                <w:rFonts w:ascii="ＭＳ Ｐゴシック" w:eastAsia="ＭＳ Ｐゴシック" w:hAnsi="ＭＳ Ｐゴシック" w:cs="ＭＳ Ｐゴシック"/>
                <w:sz w:val="20"/>
              </w:rPr>
            </w:pPr>
          </w:p>
          <w:p w:rsidR="006736B1" w:rsidRPr="009C7055" w:rsidRDefault="006736B1">
            <w:pPr>
              <w:widowControl/>
              <w:jc w:val="center"/>
              <w:rPr>
                <w:rFonts w:ascii="ＭＳ Ｐゴシック" w:eastAsia="ＭＳ Ｐゴシック" w:hAnsi="ＭＳ Ｐゴシック" w:cs="ＭＳ Ｐゴシック"/>
                <w:sz w:val="20"/>
              </w:rPr>
            </w:pPr>
          </w:p>
        </w:tc>
        <w:tc>
          <w:tcPr>
            <w:tcW w:w="3342" w:type="dxa"/>
            <w:gridSpan w:val="2"/>
            <w:tcBorders>
              <w:top w:val="nil"/>
              <w:left w:val="single" w:sz="4" w:space="0" w:color="auto"/>
              <w:bottom w:val="single" w:sz="4" w:space="0" w:color="auto"/>
              <w:right w:val="single" w:sz="4" w:space="0" w:color="auto"/>
            </w:tcBorders>
            <w:shd w:val="clear" w:color="auto" w:fill="auto"/>
            <w:vAlign w:val="center"/>
          </w:tcPr>
          <w:p w:rsidR="006736B1" w:rsidRPr="009C7055" w:rsidRDefault="006736B1">
            <w:pPr>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標準製剤</w:t>
            </w:r>
            <w:r w:rsidRPr="009C7055">
              <w:rPr>
                <w:rFonts w:ascii="ＭＳ Ｐゴシック" w:eastAsia="ＭＳ Ｐゴシック" w:hAnsi="ＭＳ Ｐゴシック" w:cs="ＭＳ Ｐゴシック" w:hint="eastAsia"/>
                <w:sz w:val="20"/>
              </w:rPr>
              <w:br/>
              <w:t>（点眼点耳点鼻用液、0.1％）</w:t>
            </w:r>
          </w:p>
        </w:tc>
        <w:tc>
          <w:tcPr>
            <w:tcW w:w="3342" w:type="dxa"/>
            <w:tcBorders>
              <w:top w:val="nil"/>
              <w:left w:val="nil"/>
              <w:bottom w:val="single" w:sz="4" w:space="0" w:color="auto"/>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54.2 ± 7.1</w:t>
            </w:r>
          </w:p>
        </w:tc>
        <w:tc>
          <w:tcPr>
            <w:tcW w:w="218" w:type="dxa"/>
            <w:vMerge/>
            <w:tcBorders>
              <w:left w:val="nil"/>
              <w:right w:val="single" w:sz="4" w:space="0" w:color="auto"/>
            </w:tcBorders>
            <w:shd w:val="clear" w:color="auto" w:fill="auto"/>
            <w:vAlign w:val="center"/>
          </w:tcPr>
          <w:p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trPr>
          <w:trHeight w:val="403"/>
        </w:trPr>
        <w:tc>
          <w:tcPr>
            <w:tcW w:w="2560" w:type="dxa"/>
            <w:vMerge/>
            <w:tcBorders>
              <w:top w:val="single" w:sz="4" w:space="0" w:color="auto"/>
              <w:left w:val="single" w:sz="4" w:space="0" w:color="auto"/>
              <w:bottom w:val="single" w:sz="4" w:space="0" w:color="000000"/>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7120" w:type="dxa"/>
            <w:gridSpan w:val="5"/>
            <w:tcBorders>
              <w:left w:val="single" w:sz="4" w:space="0" w:color="auto"/>
              <w:right w:val="single" w:sz="4" w:space="0" w:color="auto"/>
            </w:tcBorders>
            <w:shd w:val="clear" w:color="auto" w:fill="auto"/>
            <w:vAlign w:val="center"/>
          </w:tcPr>
          <w:p w:rsidR="006736B1" w:rsidRPr="009C7055" w:rsidRDefault="006736B1">
            <w:pPr>
              <w:widowControl/>
              <w:jc w:val="right"/>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（平均値±標準誤差，ｎ＝5）</w:t>
            </w:r>
          </w:p>
        </w:tc>
      </w:tr>
      <w:tr w:rsidR="006736B1" w:rsidRPr="009C7055">
        <w:trPr>
          <w:trHeight w:val="200"/>
        </w:trPr>
        <w:tc>
          <w:tcPr>
            <w:tcW w:w="2560" w:type="dxa"/>
            <w:vMerge/>
            <w:tcBorders>
              <w:top w:val="single" w:sz="4" w:space="0" w:color="auto"/>
              <w:left w:val="single" w:sz="4" w:space="0" w:color="auto"/>
              <w:bottom w:val="single" w:sz="4" w:space="0" w:color="auto"/>
              <w:right w:val="single" w:sz="4" w:space="0" w:color="auto"/>
            </w:tcBorders>
            <w:vAlign w:val="center"/>
          </w:tcPr>
          <w:p w:rsidR="006736B1" w:rsidRPr="009C7055" w:rsidRDefault="006736B1">
            <w:pPr>
              <w:widowControl/>
              <w:jc w:val="left"/>
              <w:rPr>
                <w:rFonts w:ascii="ＭＳ Ｐゴシック" w:eastAsia="ＭＳ Ｐゴシック" w:hAnsi="ＭＳ Ｐゴシック" w:cs="ＭＳ Ｐゴシック"/>
                <w:sz w:val="20"/>
              </w:rPr>
            </w:pPr>
          </w:p>
        </w:tc>
        <w:tc>
          <w:tcPr>
            <w:tcW w:w="3260" w:type="dxa"/>
            <w:gridSpan w:val="2"/>
            <w:tcBorders>
              <w:top w:val="nil"/>
              <w:left w:val="single" w:sz="4" w:space="0" w:color="auto"/>
              <w:bottom w:val="single" w:sz="4" w:space="0" w:color="auto"/>
              <w:right w:val="nil"/>
            </w:tcBorders>
            <w:shd w:val="clear" w:color="auto" w:fill="auto"/>
          </w:tcPr>
          <w:p w:rsidR="006736B1" w:rsidRPr="009C7055" w:rsidRDefault="006736B1">
            <w:pPr>
              <w:widowControl/>
              <w:rPr>
                <w:rFonts w:ascii="ＭＳ 明朝" w:eastAsia="ＭＳ 明朝" w:hAnsi="ＭＳ 明朝" w:cs="ＭＳ Ｐゴシック"/>
                <w:sz w:val="20"/>
              </w:rPr>
            </w:pPr>
            <w:r w:rsidRPr="009C7055">
              <w:rPr>
                <w:rFonts w:ascii="ＭＳ 明朝" w:eastAsia="ＭＳ 明朝" w:hAnsi="ＭＳ 明朝" w:cs="ＭＳ Ｐゴシック" w:hint="eastAsia"/>
                <w:sz w:val="20"/>
              </w:rPr>
              <w:t xml:space="preserve">　</w:t>
            </w:r>
          </w:p>
        </w:tc>
        <w:tc>
          <w:tcPr>
            <w:tcW w:w="3860" w:type="dxa"/>
            <w:gridSpan w:val="3"/>
            <w:tcBorders>
              <w:top w:val="nil"/>
              <w:left w:val="nil"/>
              <w:bottom w:val="single" w:sz="4" w:space="0" w:color="auto"/>
              <w:right w:val="single" w:sz="4" w:space="0" w:color="auto"/>
            </w:tcBorders>
            <w:shd w:val="clear" w:color="auto" w:fill="auto"/>
          </w:tcPr>
          <w:p w:rsidR="006736B1" w:rsidRPr="009C7055" w:rsidRDefault="006736B1">
            <w:pPr>
              <w:widowControl/>
              <w:jc w:val="center"/>
              <w:rPr>
                <w:rFonts w:eastAsia="ＭＳ Ｐゴシック" w:cs="ＭＳ Ｐゴシック"/>
                <w:sz w:val="20"/>
              </w:rPr>
            </w:pPr>
            <w:r w:rsidRPr="009C7055">
              <w:rPr>
                <w:rFonts w:eastAsia="ＭＳ Ｐゴシック" w:cs="ＭＳ Ｐゴシック"/>
                <w:sz w:val="20"/>
              </w:rPr>
              <w:t xml:space="preserve">　</w:t>
            </w:r>
          </w:p>
        </w:tc>
      </w:tr>
      <w:tr w:rsidR="006736B1" w:rsidRPr="009C7055">
        <w:trPr>
          <w:trHeight w:val="1134"/>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備　考</w:t>
            </w:r>
          </w:p>
        </w:tc>
        <w:tc>
          <w:tcPr>
            <w:tcW w:w="7120" w:type="dxa"/>
            <w:gridSpan w:val="5"/>
            <w:tcBorders>
              <w:top w:val="single" w:sz="4" w:space="0" w:color="auto"/>
              <w:left w:val="nil"/>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r w:rsidR="006736B1" w:rsidRPr="009C7055">
        <w:trPr>
          <w:trHeight w:val="240"/>
        </w:trPr>
        <w:tc>
          <w:tcPr>
            <w:tcW w:w="9680" w:type="dxa"/>
            <w:gridSpan w:val="6"/>
            <w:tcBorders>
              <w:top w:val="nil"/>
              <w:left w:val="nil"/>
              <w:bottom w:val="nil"/>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r w:rsidR="006736B1" w:rsidRPr="009C7055">
        <w:trPr>
          <w:trHeight w:val="1134"/>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保険薬局名・連絡先等</w:t>
            </w:r>
          </w:p>
        </w:tc>
        <w:tc>
          <w:tcPr>
            <w:tcW w:w="7120" w:type="dxa"/>
            <w:gridSpan w:val="5"/>
            <w:tcBorders>
              <w:top w:val="single" w:sz="4" w:space="0" w:color="auto"/>
              <w:left w:val="nil"/>
              <w:bottom w:val="single" w:sz="4" w:space="0" w:color="auto"/>
              <w:right w:val="single" w:sz="4" w:space="0" w:color="000000"/>
            </w:tcBorders>
            <w:shd w:val="clear" w:color="auto" w:fill="auto"/>
            <w:noWrap/>
            <w:vAlign w:val="center"/>
          </w:tcPr>
          <w:p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bl>
    <w:p w:rsidR="006736B1" w:rsidRDefault="006736B1">
      <w:r>
        <w:rPr>
          <w:rFonts w:hint="eastAsia"/>
        </w:rPr>
        <w:t xml:space="preserve">　</w:t>
      </w:r>
    </w:p>
    <w:p w:rsidR="006736B1" w:rsidRPr="00375650" w:rsidRDefault="006E2B3A" w:rsidP="0026407D">
      <w:pPr>
        <w:tabs>
          <w:tab w:val="left" w:pos="7380"/>
        </w:tabs>
        <w:ind w:right="-314"/>
        <w:jc w:val="right"/>
        <w:rPr>
          <w:rFonts w:ascii="ＭＳ Ｐゴシック" w:eastAsia="ＭＳ Ｐゴシック" w:hAnsi="ＭＳ Ｐゴシック"/>
          <w:sz w:val="22"/>
          <w:szCs w:val="22"/>
        </w:rPr>
      </w:pPr>
      <w:r w:rsidRPr="006E2B3A">
        <w:rPr>
          <w:rFonts w:ascii="ＭＳ Ｐゴシック" w:eastAsia="ＭＳ Ｐゴシック" w:hAnsi="ＭＳ Ｐゴシック" w:hint="eastAsia"/>
          <w:sz w:val="22"/>
          <w:szCs w:val="22"/>
        </w:rPr>
        <w:t>202</w:t>
      </w:r>
      <w:r w:rsidR="00A70147">
        <w:rPr>
          <w:rFonts w:ascii="ＭＳ Ｐゴシック" w:eastAsia="ＭＳ Ｐゴシック" w:hAnsi="ＭＳ Ｐゴシック" w:hint="eastAsia"/>
          <w:sz w:val="22"/>
          <w:szCs w:val="22"/>
        </w:rPr>
        <w:t>2</w:t>
      </w:r>
      <w:r w:rsidRPr="006E2B3A">
        <w:rPr>
          <w:rFonts w:ascii="ＭＳ Ｐゴシック" w:eastAsia="ＭＳ Ｐゴシック" w:hAnsi="ＭＳ Ｐゴシック" w:hint="eastAsia"/>
          <w:sz w:val="22"/>
          <w:szCs w:val="22"/>
        </w:rPr>
        <w:t>年4月</w:t>
      </w:r>
    </w:p>
    <w:sectPr w:rsidR="006736B1" w:rsidRPr="00375650" w:rsidSect="0026407D">
      <w:headerReference w:type="default" r:id="rId6"/>
      <w:footerReference w:type="default" r:id="rId7"/>
      <w:pgSz w:w="11906" w:h="16838" w:code="9"/>
      <w:pgMar w:top="1418" w:right="1418" w:bottom="1134"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BC" w:rsidRDefault="00C654BC">
      <w:r>
        <w:separator/>
      </w:r>
    </w:p>
  </w:endnote>
  <w:endnote w:type="continuationSeparator" w:id="0">
    <w:p w:rsidR="00C654BC" w:rsidRDefault="00C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B1" w:rsidRDefault="006736B1">
    <w:pPr>
      <w:pStyle w:val="a4"/>
      <w:jc w:val="center"/>
    </w:pPr>
    <w:r>
      <w:rPr>
        <w:rStyle w:val="a5"/>
      </w:rPr>
      <w:fldChar w:fldCharType="begin"/>
    </w:r>
    <w:r>
      <w:rPr>
        <w:rStyle w:val="a5"/>
      </w:rPr>
      <w:instrText xml:space="preserve"> PAGE </w:instrText>
    </w:r>
    <w:r>
      <w:rPr>
        <w:rStyle w:val="a5"/>
      </w:rPr>
      <w:fldChar w:fldCharType="separate"/>
    </w:r>
    <w:r w:rsidR="0074141D">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74141D">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BC" w:rsidRDefault="00C654BC">
      <w:r>
        <w:separator/>
      </w:r>
    </w:p>
  </w:footnote>
  <w:footnote w:type="continuationSeparator" w:id="0">
    <w:p w:rsidR="00C654BC" w:rsidRDefault="00C6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B1" w:rsidRPr="00296EB6" w:rsidRDefault="006736B1">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ビジュアリン眼科耳鼻科用</w:t>
    </w:r>
    <w:r w:rsidRPr="00296EB6">
      <w:rPr>
        <w:rFonts w:ascii="ＭＳ Ｐゴシック" w:eastAsia="ＭＳ Ｐゴシック" w:hAnsi="ＭＳ Ｐゴシック" w:hint="eastAsia"/>
        <w:sz w:val="24"/>
        <w:szCs w:val="24"/>
      </w:rPr>
      <w:t>液0.</w:t>
    </w:r>
    <w:r>
      <w:rPr>
        <w:rFonts w:ascii="ＭＳ Ｐゴシック" w:eastAsia="ＭＳ Ｐゴシック" w:hAnsi="ＭＳ Ｐゴシック" w:hint="eastAsia"/>
        <w:sz w:val="24"/>
        <w:szCs w:val="24"/>
      </w:rPr>
      <w:t>1％</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88"/>
    <w:rsid w:val="00036DEF"/>
    <w:rsid w:val="001251A3"/>
    <w:rsid w:val="002468D2"/>
    <w:rsid w:val="0026407D"/>
    <w:rsid w:val="00375650"/>
    <w:rsid w:val="003A5E1F"/>
    <w:rsid w:val="004A6E0A"/>
    <w:rsid w:val="005A25A5"/>
    <w:rsid w:val="005C6799"/>
    <w:rsid w:val="006736B1"/>
    <w:rsid w:val="006E2B3A"/>
    <w:rsid w:val="0074141D"/>
    <w:rsid w:val="0089048F"/>
    <w:rsid w:val="009B2390"/>
    <w:rsid w:val="00A70147"/>
    <w:rsid w:val="00A742FB"/>
    <w:rsid w:val="00C51E88"/>
    <w:rsid w:val="00C654BC"/>
    <w:rsid w:val="00CF6FCA"/>
    <w:rsid w:val="00D50287"/>
    <w:rsid w:val="00E5779D"/>
    <w:rsid w:val="00F7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1CC9C5E-5698-4E3E-8BF9-91258DF7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15637551">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1696</Words>
  <Characters>523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30060100:辻広隆志S</cp:lastModifiedBy>
  <cp:revision>8</cp:revision>
  <cp:lastPrinted>2014-04-02T08:46:00Z</cp:lastPrinted>
  <dcterms:created xsi:type="dcterms:W3CDTF">2019-08-20T01:50:00Z</dcterms:created>
  <dcterms:modified xsi:type="dcterms:W3CDTF">2022-02-03T02:01:00Z</dcterms:modified>
</cp:coreProperties>
</file>