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37" w:rsidRPr="006F7C2B" w:rsidRDefault="003B0837">
      <w:pPr>
        <w:rPr>
          <w:rFonts w:ascii="ＭＳ ゴシック" w:eastAsia="ＭＳ ゴシック" w:hAnsi="ＭＳ ゴシック"/>
        </w:rPr>
      </w:pPr>
      <w:r w:rsidRPr="006F7C2B">
        <w:rPr>
          <w:rFonts w:ascii="ＭＳ ゴシック" w:eastAsia="ＭＳ ゴシック" w:hAnsi="ＭＳ ゴシック" w:hint="eastAsia"/>
        </w:rPr>
        <w:t>『レボカバスチン点眼液0.025％｢TS」』の先発医薬品との比較</w:t>
      </w:r>
    </w:p>
    <w:p w:rsidR="003B0837" w:rsidRPr="006F7C2B" w:rsidRDefault="003B0837">
      <w:pPr>
        <w:rPr>
          <w:rFonts w:ascii="ＭＳ ゴシック" w:eastAsia="ＭＳ ゴシック" w:hAnsi="ＭＳ ゴシック"/>
        </w:rPr>
      </w:pPr>
    </w:p>
    <w:tbl>
      <w:tblPr>
        <w:tblW w:w="10107" w:type="dxa"/>
        <w:tblInd w:w="94" w:type="dxa"/>
        <w:tblCellMar>
          <w:left w:w="99" w:type="dxa"/>
          <w:right w:w="99" w:type="dxa"/>
        </w:tblCellMar>
        <w:tblLook w:val="0000" w:firstRow="0" w:lastRow="0" w:firstColumn="0" w:lastColumn="0" w:noHBand="0" w:noVBand="0"/>
      </w:tblPr>
      <w:tblGrid>
        <w:gridCol w:w="1190"/>
        <w:gridCol w:w="1408"/>
        <w:gridCol w:w="218"/>
        <w:gridCol w:w="3606"/>
        <w:gridCol w:w="740"/>
        <w:gridCol w:w="209"/>
        <w:gridCol w:w="282"/>
        <w:gridCol w:w="1964"/>
        <w:gridCol w:w="425"/>
        <w:gridCol w:w="65"/>
      </w:tblGrid>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一般名</w:t>
            </w:r>
            <w:bookmarkStart w:id="0" w:name="_GoBack"/>
            <w:bookmarkEnd w:id="0"/>
          </w:p>
        </w:tc>
        <w:tc>
          <w:tcPr>
            <w:tcW w:w="7509" w:type="dxa"/>
            <w:gridSpan w:val="8"/>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レボカバスチン塩酸塩</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剤　形</w:t>
            </w:r>
          </w:p>
        </w:tc>
        <w:tc>
          <w:tcPr>
            <w:tcW w:w="7509" w:type="dxa"/>
            <w:gridSpan w:val="8"/>
            <w:tcBorders>
              <w:top w:val="single" w:sz="4" w:space="0" w:color="auto"/>
              <w:left w:val="nil"/>
              <w:bottom w:val="nil"/>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水性懸濁点眼剤</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薬効分類名</w:t>
            </w:r>
          </w:p>
        </w:tc>
        <w:tc>
          <w:tcPr>
            <w:tcW w:w="7509" w:type="dxa"/>
            <w:gridSpan w:val="8"/>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H</w:t>
            </w:r>
            <w:r w:rsidRPr="00545513">
              <w:rPr>
                <w:rFonts w:ascii="ＭＳ Ｐゴシック" w:eastAsia="ＭＳ Ｐゴシック" w:hAnsi="ＭＳ Ｐゴシック" w:cs="ＭＳ Ｐゴシック" w:hint="eastAsia"/>
                <w:kern w:val="0"/>
                <w:szCs w:val="21"/>
                <w:vertAlign w:val="subscript"/>
              </w:rPr>
              <w:t>1</w:t>
            </w:r>
            <w:r w:rsidRPr="00545513">
              <w:rPr>
                <w:rFonts w:ascii="ＭＳ Ｐゴシック" w:eastAsia="ＭＳ Ｐゴシック" w:hAnsi="ＭＳ Ｐゴシック" w:cs="ＭＳ Ｐゴシック" w:hint="eastAsia"/>
                <w:kern w:val="0"/>
                <w:szCs w:val="21"/>
              </w:rPr>
              <w:t>ブロッカー点眼剤</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成分・含量</w:t>
            </w:r>
            <w:r w:rsidRPr="00545513">
              <w:rPr>
                <w:rFonts w:ascii="ＭＳ Ｐゴシック" w:eastAsia="ＭＳ Ｐゴシック" w:hAnsi="ＭＳ Ｐゴシック" w:cs="ＭＳ Ｐゴシック" w:hint="eastAsia"/>
                <w:kern w:val="0"/>
                <w:szCs w:val="21"/>
              </w:rPr>
              <w:br/>
              <w:t>（１mL中）</w:t>
            </w:r>
          </w:p>
        </w:tc>
        <w:tc>
          <w:tcPr>
            <w:tcW w:w="7509" w:type="dxa"/>
            <w:gridSpan w:val="8"/>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レボカバスチン塩酸塩　0.27mg</w:t>
            </w:r>
            <w:r w:rsidRPr="00545513">
              <w:rPr>
                <w:rFonts w:ascii="ＭＳ Ｐゴシック" w:eastAsia="ＭＳ Ｐゴシック" w:hAnsi="ＭＳ Ｐゴシック" w:cs="ＭＳ Ｐゴシック" w:hint="eastAsia"/>
                <w:kern w:val="0"/>
                <w:szCs w:val="21"/>
              </w:rPr>
              <w:br/>
              <w:t>(レボカバスチンとして0.25㎎)</w:t>
            </w:r>
          </w:p>
        </w:tc>
      </w:tr>
      <w:tr w:rsidR="003B0837" w:rsidRPr="00545513" w:rsidTr="00FD4431">
        <w:trPr>
          <w:gridAfter w:val="1"/>
          <w:wAfter w:w="65" w:type="dxa"/>
          <w:trHeight w:val="20"/>
        </w:trPr>
        <w:tc>
          <w:tcPr>
            <w:tcW w:w="1190"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1408"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218"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4346" w:type="dxa"/>
            <w:gridSpan w:val="2"/>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209" w:type="dxa"/>
            <w:tcBorders>
              <w:top w:val="nil"/>
              <w:left w:val="nil"/>
              <w:bottom w:val="nil"/>
              <w:right w:val="nil"/>
            </w:tcBorders>
            <w:shd w:val="clear" w:color="auto" w:fill="auto"/>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282"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1964"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後発医薬品</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先発医薬品</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製品名</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レボカバスチン点眼液0.025%「TS」</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製造販売会社</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テイカ製薬株式会社</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発売会社</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千寿製薬株式会社</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　価</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rsidP="001969F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0.025％</w:t>
            </w:r>
            <w:r w:rsidR="00A113B1">
              <w:rPr>
                <w:rFonts w:ascii="ＭＳ Ｐゴシック" w:eastAsia="ＭＳ Ｐゴシック" w:hAnsi="ＭＳ Ｐゴシック" w:cs="ＭＳ Ｐゴシック" w:hint="eastAsia"/>
                <w:kern w:val="0"/>
                <w:szCs w:val="21"/>
              </w:rPr>
              <w:t xml:space="preserve">　</w:t>
            </w:r>
            <w:r w:rsidRPr="00545513">
              <w:rPr>
                <w:rFonts w:ascii="ＭＳ Ｐゴシック" w:eastAsia="ＭＳ Ｐゴシック" w:hAnsi="ＭＳ Ｐゴシック" w:cs="ＭＳ Ｐゴシック" w:hint="eastAsia"/>
                <w:kern w:val="0"/>
                <w:szCs w:val="21"/>
              </w:rPr>
              <w:t xml:space="preserve">1mL　</w:t>
            </w:r>
            <w:r w:rsidR="003C15F9" w:rsidRPr="00F87E47">
              <w:rPr>
                <w:rFonts w:ascii="ＭＳ Ｐゴシック" w:eastAsia="ＭＳ Ｐゴシック" w:hAnsi="ＭＳ Ｐゴシック" w:cs="ＭＳ Ｐゴシック" w:hint="eastAsia"/>
                <w:kern w:val="0"/>
                <w:szCs w:val="21"/>
              </w:rPr>
              <w:t>59.70</w:t>
            </w:r>
            <w:r w:rsidR="0097446D" w:rsidRPr="0097446D">
              <w:rPr>
                <w:rFonts w:ascii="ＭＳ Ｐゴシック" w:eastAsia="ＭＳ Ｐゴシック" w:hAnsi="ＭＳ Ｐゴシック" w:cs="ＭＳ Ｐゴシック" w:hint="eastAsia"/>
                <w:kern w:val="0"/>
                <w:szCs w:val="21"/>
              </w:rPr>
              <w:t>円</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添加物</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ホウ酸、トロメタモール、ポリソルベート80、ヒプロメロース、D-マンニトール、プロピレングリコール、グリセリン、ベンザルコニウム塩化物、エデト酸ナトリウム水和物、クエン酸水和物、塩化ナトリウム</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left"/>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性状（　色　）</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白色</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pH</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6.0 ～ 8.0</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貯　法</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室温保存</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311B2F">
        <w:trPr>
          <w:trHeight w:val="20"/>
        </w:trPr>
        <w:tc>
          <w:tcPr>
            <w:tcW w:w="2598" w:type="dxa"/>
            <w:gridSpan w:val="2"/>
            <w:tcBorders>
              <w:top w:val="single" w:sz="4" w:space="0" w:color="auto"/>
              <w:left w:val="single" w:sz="4" w:space="0" w:color="auto"/>
              <w:bottom w:val="nil"/>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品質再評価</w:t>
            </w:r>
          </w:p>
        </w:tc>
        <w:tc>
          <w:tcPr>
            <w:tcW w:w="7509" w:type="dxa"/>
            <w:gridSpan w:val="8"/>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該当しない。</w:t>
            </w:r>
          </w:p>
        </w:tc>
      </w:tr>
      <w:tr w:rsidR="003B0837" w:rsidRPr="003B6981" w:rsidTr="00311B2F">
        <w:trPr>
          <w:trHeight w:val="6875"/>
        </w:trPr>
        <w:tc>
          <w:tcPr>
            <w:tcW w:w="25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生物学的</w:t>
            </w:r>
            <w:r w:rsidRPr="00545513">
              <w:rPr>
                <w:rFonts w:ascii="ＭＳ Ｐゴシック" w:eastAsia="ＭＳ Ｐゴシック" w:hAnsi="ＭＳ Ｐゴシック" w:cs="ＭＳ Ｐゴシック" w:hint="eastAsia"/>
                <w:kern w:val="0"/>
                <w:szCs w:val="21"/>
              </w:rPr>
              <w:br/>
              <w:t>同等性試験</w:t>
            </w:r>
          </w:p>
        </w:tc>
        <w:tc>
          <w:tcPr>
            <w:tcW w:w="7509" w:type="dxa"/>
            <w:gridSpan w:val="8"/>
            <w:tcBorders>
              <w:top w:val="single" w:sz="4" w:space="0" w:color="auto"/>
              <w:left w:val="nil"/>
              <w:bottom w:val="single" w:sz="4" w:space="0" w:color="auto"/>
              <w:right w:val="single" w:sz="4" w:space="0" w:color="000000"/>
            </w:tcBorders>
            <w:shd w:val="clear" w:color="auto" w:fill="auto"/>
            <w:vAlign w:val="center"/>
          </w:tcPr>
          <w:p w:rsidR="003B0837" w:rsidRDefault="003B0837">
            <w:pPr>
              <w:widowControl/>
              <w:spacing w:line="36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【薬物動態】</w:t>
            </w:r>
          </w:p>
          <w:p w:rsidR="003B0837" w:rsidRDefault="003B0837">
            <w:pPr>
              <w:widowControl/>
              <w:spacing w:line="360" w:lineRule="exact"/>
              <w:ind w:leftChars="107" w:left="225"/>
              <w:jc w:val="left"/>
              <w:rPr>
                <w:rFonts w:ascii="ＭＳ Ｐゴシック" w:eastAsia="ＭＳ Ｐゴシック" w:hAnsi="ＭＳ Ｐゴシック" w:cs="ＭＳ Ｐゴシック"/>
                <w:color w:val="000000"/>
                <w:kern w:val="0"/>
                <w:szCs w:val="21"/>
              </w:rPr>
            </w:pPr>
            <w:r w:rsidRPr="00DB2385">
              <w:rPr>
                <w:rFonts w:ascii="ＭＳ Ｐゴシック" w:eastAsia="ＭＳ Ｐゴシック" w:hAnsi="ＭＳ Ｐゴシック" w:cs="ＭＳ Ｐゴシック" w:hint="eastAsia"/>
                <w:kern w:val="0"/>
                <w:szCs w:val="21"/>
              </w:rPr>
              <w:t>家兎結膜中における薬物滞留性</w:t>
            </w:r>
          </w:p>
          <w:p w:rsidR="003B0837" w:rsidRDefault="003B0837" w:rsidP="003B6981">
            <w:pPr>
              <w:widowControl/>
              <w:spacing w:line="360" w:lineRule="exact"/>
              <w:ind w:leftChars="54" w:left="113"/>
              <w:jc w:val="left"/>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日本白色家兎に本剤あるいは標準製剤を点眼後0.5、1、3、8及び24時間に眼瞼結膜を摘出し結膜中薬物濃度を測定した。結膜中の薬物濃度は、本剤の点眼0.5時間後に最高値(199.19ng/g)を示した後、一次速度式に従って徐々に消失した。本剤と標準製剤の値を用いてStudentのt検定にて統計解析を行った結果、いずれの測定点においても両剤の間に有意な差は認められず、両剤の生物学的同等性が確認された。</w:t>
            </w:r>
          </w:p>
          <w:p w:rsidR="003B0837" w:rsidRDefault="003B0837">
            <w:pPr>
              <w:widowControl/>
              <w:spacing w:line="360" w:lineRule="exact"/>
              <w:ind w:leftChars="193" w:left="405" w:rightChars="104" w:right="218"/>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結膜中のレボカバスチン塩酸塩濃度</w:t>
            </w:r>
          </w:p>
          <w:p w:rsidR="003B0837" w:rsidRPr="00FD4431" w:rsidRDefault="003B6981" w:rsidP="00FD4431">
            <w:pPr>
              <w:widowControl/>
              <w:spacing w:line="360" w:lineRule="exact"/>
              <w:ind w:rightChars="104" w:right="218"/>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noProof/>
                <w:color w:val="000000"/>
                <w:kern w:val="0"/>
                <w:szCs w:val="21"/>
              </w:rPr>
              <w:drawing>
                <wp:anchor distT="0" distB="0" distL="114300" distR="114300" simplePos="0" relativeHeight="251657728" behindDoc="0" locked="0" layoutInCell="1" allowOverlap="1" wp14:anchorId="01BEFFAC" wp14:editId="17631698">
                  <wp:simplePos x="0" y="0"/>
                  <wp:positionH relativeFrom="column">
                    <wp:posOffset>613410</wp:posOffset>
                  </wp:positionH>
                  <wp:positionV relativeFrom="paragraph">
                    <wp:posOffset>111760</wp:posOffset>
                  </wp:positionV>
                  <wp:extent cx="3241040" cy="211709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1040" cy="2117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6981" w:rsidRPr="00545513" w:rsidTr="00311B2F">
        <w:trPr>
          <w:trHeight w:val="2569"/>
        </w:trPr>
        <w:tc>
          <w:tcPr>
            <w:tcW w:w="2598" w:type="dxa"/>
            <w:gridSpan w:val="2"/>
            <w:vMerge/>
            <w:tcBorders>
              <w:top w:val="single" w:sz="4" w:space="0" w:color="auto"/>
              <w:left w:val="single" w:sz="4" w:space="0" w:color="auto"/>
              <w:bottom w:val="single" w:sz="4" w:space="0" w:color="000000"/>
              <w:right w:val="single" w:sz="4" w:space="0" w:color="000000"/>
            </w:tcBorders>
            <w:vAlign w:val="center"/>
          </w:tcPr>
          <w:p w:rsidR="003B6981" w:rsidRPr="00545513" w:rsidRDefault="003B6981">
            <w:pPr>
              <w:widowControl/>
              <w:spacing w:line="360" w:lineRule="exact"/>
              <w:jc w:val="left"/>
              <w:rPr>
                <w:rFonts w:ascii="ＭＳ Ｐゴシック" w:eastAsia="ＭＳ Ｐゴシック" w:hAnsi="ＭＳ Ｐゴシック" w:cs="ＭＳ Ｐゴシック"/>
                <w:kern w:val="0"/>
                <w:szCs w:val="21"/>
              </w:rPr>
            </w:pPr>
          </w:p>
        </w:tc>
        <w:tc>
          <w:tcPr>
            <w:tcW w:w="7509" w:type="dxa"/>
            <w:gridSpan w:val="8"/>
            <w:tcBorders>
              <w:top w:val="single" w:sz="4" w:space="0" w:color="auto"/>
              <w:left w:val="nil"/>
              <w:right w:val="single" w:sz="4" w:space="0" w:color="auto"/>
            </w:tcBorders>
            <w:shd w:val="clear" w:color="auto" w:fill="auto"/>
            <w:noWrap/>
            <w:vAlign w:val="center"/>
          </w:tcPr>
          <w:p w:rsidR="003B6981" w:rsidRPr="00545513" w:rsidRDefault="003B6981">
            <w:pPr>
              <w:widowControl/>
              <w:spacing w:line="360" w:lineRule="exact"/>
              <w:jc w:val="right"/>
              <w:rPr>
                <w:rFonts w:ascii="ＭＳ Ｐゴシック" w:eastAsia="ＭＳ Ｐゴシック" w:hAnsi="ＭＳ Ｐゴシック" w:cs="ＭＳ Ｐゴシック"/>
                <w:kern w:val="0"/>
                <w:szCs w:val="21"/>
              </w:rPr>
            </w:pPr>
          </w:p>
          <w:p w:rsidR="00FD4431" w:rsidRDefault="00FD4431" w:rsidP="00FD4431">
            <w:pPr>
              <w:widowControl/>
              <w:spacing w:line="300" w:lineRule="exact"/>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color w:val="000000"/>
                <w:kern w:val="0"/>
                <w:szCs w:val="21"/>
              </w:rPr>
              <w:t>【薬効薬理】</w:t>
            </w:r>
          </w:p>
          <w:p w:rsidR="00FD4431" w:rsidRDefault="00FD4431" w:rsidP="00FD4431">
            <w:pPr>
              <w:widowControl/>
              <w:spacing w:line="300" w:lineRule="exact"/>
              <w:rPr>
                <w:rFonts w:ascii="ＭＳ Ｐゴシック" w:eastAsia="ＭＳ Ｐゴシック" w:hAnsi="ＭＳ Ｐゴシック" w:cs="ＭＳ Ｐゴシック"/>
                <w:color w:val="000000"/>
                <w:kern w:val="0"/>
                <w:szCs w:val="21"/>
              </w:rPr>
            </w:pPr>
            <w:r w:rsidRPr="00545513">
              <w:rPr>
                <w:rFonts w:ascii="ＭＳ Ｐゴシック" w:eastAsia="ＭＳ Ｐゴシック" w:hAnsi="ＭＳ Ｐゴシック" w:cs="ＭＳ Ｐゴシック" w:hint="eastAsia"/>
                <w:color w:val="000000"/>
                <w:kern w:val="0"/>
                <w:szCs w:val="21"/>
              </w:rPr>
              <w:t>１）ラット実験的アレルギー性結膜炎モデルに対する作用</w:t>
            </w:r>
            <w:r w:rsidRPr="00545513">
              <w:rPr>
                <w:rFonts w:ascii="ＭＳ Ｐゴシック" w:eastAsia="ＭＳ Ｐゴシック" w:hAnsi="ＭＳ Ｐゴシック" w:cs="ＭＳ Ｐゴシック" w:hint="eastAsia"/>
                <w:color w:val="000000"/>
                <w:kern w:val="0"/>
                <w:szCs w:val="21"/>
              </w:rPr>
              <w:br/>
              <w:t>抗卵白アルブミンラット血清をラット結膜下に注射することにより感作し、48時間後に卵白アルブミン/エバンスブルー溶液を静脈内投与し結膜にアレルギー反応を惹起した。惹起30分後に眼球結膜及び眼瞼結膜を摘出し、組織中漏出色素量を血管透過性の指標とし評価した。本剤及び標準製剤において得られた値を用いて90％信頼区間法にて統計解析を行った結果、log(0.8)～log(1.25)(＝－0.09691～0.09691)の範囲内にあることから両剤の生物学的同等性が確認された。</w:t>
            </w:r>
            <w:r w:rsidR="003B6981" w:rsidRPr="00545513">
              <w:rPr>
                <w:rFonts w:ascii="ＭＳ Ｐゴシック" w:eastAsia="ＭＳ Ｐゴシック" w:hAnsi="ＭＳ Ｐゴシック" w:cs="ＭＳ Ｐゴシック" w:hint="eastAsia"/>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243"/>
              <w:gridCol w:w="2717"/>
            </w:tblGrid>
            <w:tr w:rsidR="00FD4431" w:rsidRPr="00E2161E" w:rsidTr="00FD4431">
              <w:tc>
                <w:tcPr>
                  <w:tcW w:w="315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試験製剤</w:t>
                  </w:r>
                </w:p>
              </w:tc>
              <w:tc>
                <w:tcPr>
                  <w:tcW w:w="124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例数</w:t>
                  </w:r>
                </w:p>
              </w:tc>
              <w:tc>
                <w:tcPr>
                  <w:tcW w:w="2717"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組織内色素量（吸光度）</w:t>
                  </w:r>
                </w:p>
              </w:tc>
            </w:tr>
            <w:tr w:rsidR="00FD4431" w:rsidRPr="00E2161E" w:rsidTr="00FD4431">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ﾚﾎﾞｶﾊﾞｽﾁﾝ点眼液0.025％「TS」</w:t>
                  </w:r>
                </w:p>
              </w:tc>
              <w:tc>
                <w:tcPr>
                  <w:tcW w:w="124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10</w:t>
                  </w:r>
                </w:p>
              </w:tc>
              <w:tc>
                <w:tcPr>
                  <w:tcW w:w="2717"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0.1414±0.0041**</w:t>
                  </w:r>
                </w:p>
              </w:tc>
            </w:tr>
            <w:tr w:rsidR="00FD4431" w:rsidRPr="00E2161E" w:rsidTr="00FD4431">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標準製剤（点眼液、0.025％）</w:t>
                  </w:r>
                </w:p>
              </w:tc>
              <w:tc>
                <w:tcPr>
                  <w:tcW w:w="124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10</w:t>
                  </w:r>
                </w:p>
              </w:tc>
              <w:tc>
                <w:tcPr>
                  <w:tcW w:w="2717"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0.1393±0.0069**</w:t>
                  </w:r>
                </w:p>
              </w:tc>
            </w:tr>
            <w:tr w:rsidR="00FD4431" w:rsidRPr="00E2161E" w:rsidTr="00FD4431">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基剤</w:t>
                  </w:r>
                </w:p>
              </w:tc>
              <w:tc>
                <w:tcPr>
                  <w:tcW w:w="124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20</w:t>
                  </w:r>
                </w:p>
              </w:tc>
              <w:tc>
                <w:tcPr>
                  <w:tcW w:w="2717"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0.2397±0.0083</w:t>
                  </w:r>
                </w:p>
              </w:tc>
            </w:tr>
          </w:tbl>
          <w:p w:rsidR="00FD4431" w:rsidRDefault="00FD4431" w:rsidP="00FD4431">
            <w:pPr>
              <w:widowControl/>
              <w:spacing w:line="300" w:lineRule="exact"/>
              <w:ind w:firstLineChars="100" w:firstLine="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**ｐ</w:t>
            </w:r>
            <w:r w:rsidRPr="00545513">
              <w:rPr>
                <w:rFonts w:ascii="ＭＳ Ｐゴシック" w:eastAsia="ＭＳ Ｐゴシック" w:hAnsi="ＭＳ Ｐゴシック" w:cs="ＭＳ Ｐゴシック" w:hint="eastAsia"/>
                <w:kern w:val="0"/>
                <w:szCs w:val="21"/>
              </w:rPr>
              <w:t>＜0.01(</w:t>
            </w:r>
            <w:proofErr w:type="spellStart"/>
            <w:r w:rsidRPr="00545513">
              <w:rPr>
                <w:rFonts w:ascii="ＭＳ Ｐゴシック" w:eastAsia="ＭＳ Ｐゴシック" w:hAnsi="ＭＳ Ｐゴシック" w:cs="ＭＳ Ｐゴシック" w:hint="eastAsia"/>
                <w:kern w:val="0"/>
                <w:szCs w:val="21"/>
              </w:rPr>
              <w:t>Dunnett</w:t>
            </w:r>
            <w:proofErr w:type="spellEnd"/>
            <w:r w:rsidRPr="00545513">
              <w:rPr>
                <w:rFonts w:ascii="ＭＳ Ｐゴシック" w:eastAsia="ＭＳ Ｐゴシック" w:hAnsi="ＭＳ Ｐゴシック" w:cs="ＭＳ Ｐゴシック" w:hint="eastAsia"/>
                <w:kern w:val="0"/>
                <w:szCs w:val="21"/>
              </w:rPr>
              <w:t>の多重比較検定、対基剤)、平均値±標準誤差</w:t>
            </w:r>
          </w:p>
          <w:p w:rsidR="003B6981" w:rsidRDefault="003B6981" w:rsidP="00FD4431">
            <w:pPr>
              <w:spacing w:line="360" w:lineRule="exact"/>
              <w:ind w:left="181" w:right="43" w:hangingChars="86" w:hanging="181"/>
              <w:rPr>
                <w:rFonts w:ascii="ＭＳ Ｐゴシック" w:eastAsia="ＭＳ Ｐゴシック" w:hAnsi="ＭＳ Ｐゴシック" w:cs="ＭＳ Ｐゴシック"/>
                <w:color w:val="000000"/>
                <w:kern w:val="0"/>
                <w:szCs w:val="21"/>
              </w:rPr>
            </w:pPr>
          </w:p>
          <w:p w:rsidR="00FD4431" w:rsidRDefault="00FD4431" w:rsidP="00FD4431">
            <w:pPr>
              <w:spacing w:line="360" w:lineRule="exact"/>
              <w:ind w:left="181" w:right="43" w:hangingChars="86" w:hanging="181"/>
              <w:rPr>
                <w:rFonts w:ascii="ＭＳ Ｐゴシック" w:eastAsia="ＭＳ Ｐゴシック" w:hAnsi="ＭＳ Ｐゴシック" w:cs="ＭＳ Ｐゴシック"/>
                <w:color w:val="000000"/>
                <w:kern w:val="0"/>
                <w:szCs w:val="21"/>
              </w:rPr>
            </w:pPr>
            <w:r w:rsidRPr="00DB2385">
              <w:rPr>
                <w:rFonts w:ascii="ＭＳ Ｐゴシック" w:eastAsia="ＭＳ Ｐゴシック" w:hAnsi="ＭＳ Ｐゴシック" w:cs="ＭＳ Ｐゴシック" w:hint="eastAsia"/>
                <w:kern w:val="0"/>
                <w:szCs w:val="21"/>
              </w:rPr>
              <w:t>２）モルモットヒスタミン誘発結膜炎モデルに対する作用</w:t>
            </w:r>
            <w:r w:rsidRPr="00DB2385">
              <w:rPr>
                <w:rFonts w:ascii="ＭＳ Ｐゴシック" w:eastAsia="ＭＳ Ｐゴシック" w:hAnsi="ＭＳ Ｐゴシック" w:cs="ＭＳ Ｐゴシック" w:hint="eastAsia"/>
                <w:kern w:val="0"/>
                <w:szCs w:val="21"/>
              </w:rPr>
              <w:br/>
              <w:t>ヒスタミン溶液をモルモット眼瞼結膜嚢に投与し実験的結膜炎を惹起した。本剤あるいは標準製剤を惹起15分前に点眼投与することにより予防効果を検証し、惹起後5分及び10分に2回点眼することにより治療効果を検証した。結膜炎の程度を肉眼的に観察し、基準に従いスコア化することで評価した。基剤のスコア値に対する本剤及び標準製剤のスコア値の比率より結膜炎抑制率を算出し、それらの値を用いて90％信頼区間法にて統計解析を行った結果、予防効果、治療効果共にlog(0.8)～log(1.25)(＝－0.09691～0.09691)の範囲内にあることから両剤の生物学的同等性が確認され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243"/>
              <w:gridCol w:w="2717"/>
            </w:tblGrid>
            <w:tr w:rsidR="00FD4431" w:rsidRPr="00E2161E" w:rsidTr="00AA500E">
              <w:tc>
                <w:tcPr>
                  <w:tcW w:w="315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試験製剤</w:t>
                  </w:r>
                </w:p>
              </w:tc>
              <w:tc>
                <w:tcPr>
                  <w:tcW w:w="124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例数</w:t>
                  </w:r>
                </w:p>
              </w:tc>
              <w:tc>
                <w:tcPr>
                  <w:tcW w:w="2717"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結膜炎抑制率(％)</w:t>
                  </w:r>
                </w:p>
              </w:tc>
            </w:tr>
            <w:tr w:rsidR="00FD4431" w:rsidRPr="00E2161E" w:rsidTr="00AA500E">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ﾚﾎﾞｶﾊﾞｽﾁﾝ点眼液0.025％「TS」</w:t>
                  </w:r>
                </w:p>
              </w:tc>
              <w:tc>
                <w:tcPr>
                  <w:tcW w:w="124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8</w:t>
                  </w:r>
                </w:p>
              </w:tc>
              <w:tc>
                <w:tcPr>
                  <w:tcW w:w="2717"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70.4±3.29</w:t>
                  </w:r>
                </w:p>
              </w:tc>
            </w:tr>
            <w:tr w:rsidR="00FD4431" w:rsidRPr="00E2161E" w:rsidTr="00AA500E">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標準製剤（点眼液、0.025％）</w:t>
                  </w:r>
                </w:p>
              </w:tc>
              <w:tc>
                <w:tcPr>
                  <w:tcW w:w="124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8</w:t>
                  </w:r>
                </w:p>
              </w:tc>
              <w:tc>
                <w:tcPr>
                  <w:tcW w:w="2717"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67.1±4.30</w:t>
                  </w:r>
                </w:p>
              </w:tc>
            </w:tr>
          </w:tbl>
          <w:p w:rsidR="00FD4431" w:rsidRDefault="00FD4431" w:rsidP="00FD4431">
            <w:pPr>
              <w:spacing w:line="360" w:lineRule="exact"/>
              <w:ind w:leftChars="86" w:left="181" w:right="43" w:firstLineChars="2430" w:firstLine="5103"/>
              <w:rPr>
                <w:rFonts w:ascii="ＭＳ Ｐゴシック" w:eastAsia="ＭＳ Ｐゴシック" w:hAnsi="ＭＳ Ｐゴシック" w:cs="ＭＳ Ｐゴシック"/>
                <w:color w:val="000000"/>
                <w:kern w:val="0"/>
                <w:szCs w:val="21"/>
              </w:rPr>
            </w:pPr>
            <w:r w:rsidRPr="00DB2385">
              <w:rPr>
                <w:rFonts w:ascii="ＭＳ Ｐゴシック" w:eastAsia="ＭＳ Ｐゴシック" w:hAnsi="ＭＳ Ｐゴシック" w:cs="ＭＳ Ｐゴシック" w:hint="eastAsia"/>
                <w:kern w:val="0"/>
                <w:szCs w:val="21"/>
              </w:rPr>
              <w:t>平均値±標準誤差</w:t>
            </w:r>
          </w:p>
          <w:p w:rsidR="00FD4431" w:rsidRDefault="00FD4431" w:rsidP="00FD4431">
            <w:pPr>
              <w:spacing w:line="360" w:lineRule="exact"/>
              <w:ind w:left="181" w:right="43" w:hangingChars="86" w:hanging="181"/>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治療効果(惹起後5分及び10分に2</w:t>
            </w:r>
            <w:r>
              <w:rPr>
                <w:rFonts w:ascii="ＭＳ Ｐゴシック" w:eastAsia="ＭＳ Ｐゴシック" w:hAnsi="ＭＳ Ｐゴシック" w:cs="ＭＳ Ｐゴシック" w:hint="eastAsia"/>
                <w:kern w:val="0"/>
                <w:szCs w:val="21"/>
              </w:rPr>
              <w:t>回点</w:t>
            </w:r>
            <w:r w:rsidRPr="00DB2385">
              <w:rPr>
                <w:rFonts w:ascii="ＭＳ Ｐゴシック" w:eastAsia="ＭＳ Ｐゴシック" w:hAnsi="ＭＳ Ｐゴシック" w:cs="ＭＳ Ｐゴシック" w:hint="eastAsia"/>
                <w:kern w:val="0"/>
                <w:szCs w:val="21"/>
              </w:rPr>
              <w:t>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243"/>
              <w:gridCol w:w="2717"/>
            </w:tblGrid>
            <w:tr w:rsidR="00FD4431" w:rsidRPr="00E2161E" w:rsidTr="00AA500E">
              <w:tc>
                <w:tcPr>
                  <w:tcW w:w="315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試験製剤</w:t>
                  </w:r>
                </w:p>
              </w:tc>
              <w:tc>
                <w:tcPr>
                  <w:tcW w:w="124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例数</w:t>
                  </w:r>
                </w:p>
              </w:tc>
              <w:tc>
                <w:tcPr>
                  <w:tcW w:w="2717"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結膜炎抑制率(％)</w:t>
                  </w:r>
                </w:p>
              </w:tc>
            </w:tr>
            <w:tr w:rsidR="00FD4431" w:rsidRPr="00E2161E" w:rsidTr="00BD4F81">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ﾚﾎﾞｶﾊﾞｽﾁﾝ点眼液0.025％「TS」</w:t>
                  </w:r>
                </w:p>
              </w:tc>
              <w:tc>
                <w:tcPr>
                  <w:tcW w:w="1243" w:type="dxa"/>
                  <w:shd w:val="clear" w:color="auto" w:fill="auto"/>
                  <w:vAlign w:val="center"/>
                </w:tcPr>
                <w:p w:rsidR="00FD4431" w:rsidRPr="00DB2385"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14</w:t>
                  </w:r>
                </w:p>
              </w:tc>
              <w:tc>
                <w:tcPr>
                  <w:tcW w:w="2717" w:type="dxa"/>
                  <w:shd w:val="clear" w:color="auto" w:fill="auto"/>
                  <w:vAlign w:val="center"/>
                </w:tcPr>
                <w:p w:rsidR="00FD4431" w:rsidRPr="00DB2385"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41.8±2.99</w:t>
                  </w:r>
                </w:p>
              </w:tc>
            </w:tr>
            <w:tr w:rsidR="00FD4431" w:rsidRPr="00E2161E" w:rsidTr="00BD4F81">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標準製剤（点眼液、0.025％）</w:t>
                  </w:r>
                </w:p>
              </w:tc>
              <w:tc>
                <w:tcPr>
                  <w:tcW w:w="1243" w:type="dxa"/>
                  <w:shd w:val="clear" w:color="auto" w:fill="auto"/>
                  <w:vAlign w:val="center"/>
                </w:tcPr>
                <w:p w:rsidR="00FD4431" w:rsidRPr="00DB2385"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14</w:t>
                  </w:r>
                </w:p>
              </w:tc>
              <w:tc>
                <w:tcPr>
                  <w:tcW w:w="2717" w:type="dxa"/>
                  <w:shd w:val="clear" w:color="auto" w:fill="auto"/>
                  <w:vAlign w:val="center"/>
                </w:tcPr>
                <w:p w:rsidR="00FD4431" w:rsidRPr="00DB2385"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41.8±2.99</w:t>
                  </w:r>
                </w:p>
              </w:tc>
            </w:tr>
          </w:tbl>
          <w:p w:rsidR="00FD4431" w:rsidRDefault="00FD4431" w:rsidP="00FD4431">
            <w:pPr>
              <w:spacing w:line="360" w:lineRule="exact"/>
              <w:ind w:leftChars="86" w:left="181" w:right="43" w:firstLineChars="2430" w:firstLine="5103"/>
              <w:rPr>
                <w:rFonts w:ascii="ＭＳ Ｐゴシック" w:eastAsia="ＭＳ Ｐゴシック" w:hAnsi="ＭＳ Ｐゴシック" w:cs="ＭＳ Ｐゴシック"/>
                <w:color w:val="000000"/>
                <w:kern w:val="0"/>
                <w:szCs w:val="21"/>
              </w:rPr>
            </w:pPr>
            <w:r w:rsidRPr="00DB2385">
              <w:rPr>
                <w:rFonts w:ascii="ＭＳ Ｐゴシック" w:eastAsia="ＭＳ Ｐゴシック" w:hAnsi="ＭＳ Ｐゴシック" w:cs="ＭＳ Ｐゴシック" w:hint="eastAsia"/>
                <w:kern w:val="0"/>
                <w:szCs w:val="21"/>
              </w:rPr>
              <w:t>平均値±標準誤差</w:t>
            </w:r>
          </w:p>
          <w:p w:rsidR="00FD4431" w:rsidRPr="00545513" w:rsidRDefault="00FD4431" w:rsidP="00FD4431">
            <w:pPr>
              <w:spacing w:line="360" w:lineRule="exact"/>
              <w:ind w:left="181" w:right="43" w:hangingChars="86" w:hanging="181"/>
              <w:rPr>
                <w:rFonts w:ascii="ＭＳ Ｐゴシック" w:eastAsia="ＭＳ Ｐゴシック" w:hAnsi="ＭＳ Ｐゴシック" w:cs="ＭＳ Ｐゴシック"/>
                <w:color w:val="000000"/>
                <w:kern w:val="0"/>
                <w:szCs w:val="21"/>
              </w:rPr>
            </w:pPr>
          </w:p>
        </w:tc>
      </w:tr>
      <w:tr w:rsidR="00FD4431" w:rsidRPr="00DB2385" w:rsidTr="00FD4431">
        <w:trPr>
          <w:trHeight w:val="534"/>
        </w:trPr>
        <w:tc>
          <w:tcPr>
            <w:tcW w:w="2598" w:type="dxa"/>
            <w:gridSpan w:val="2"/>
            <w:tcBorders>
              <w:top w:val="single" w:sz="4" w:space="0" w:color="auto"/>
              <w:left w:val="single" w:sz="4" w:space="0" w:color="auto"/>
              <w:bottom w:val="single" w:sz="4" w:space="0" w:color="auto"/>
              <w:right w:val="nil"/>
            </w:tcBorders>
            <w:shd w:val="clear" w:color="auto" w:fill="auto"/>
            <w:noWrap/>
            <w:vAlign w:val="center"/>
          </w:tcPr>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備　考</w:t>
            </w:r>
          </w:p>
        </w:tc>
        <w:tc>
          <w:tcPr>
            <w:tcW w:w="750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FD4431" w:rsidRPr="00DB2385" w:rsidTr="00FD4431">
        <w:trPr>
          <w:trHeight w:val="20"/>
        </w:trPr>
        <w:tc>
          <w:tcPr>
            <w:tcW w:w="10107" w:type="dxa"/>
            <w:gridSpan w:val="10"/>
            <w:tcBorders>
              <w:top w:val="nil"/>
              <w:left w:val="nil"/>
              <w:bottom w:val="nil"/>
              <w:right w:val="nil"/>
            </w:tcBorders>
            <w:shd w:val="clear" w:color="auto" w:fill="auto"/>
            <w:noWrap/>
            <w:vAlign w:val="center"/>
          </w:tcPr>
          <w:p w:rsidR="00FD4431" w:rsidRPr="00DB2385" w:rsidRDefault="00FD4431" w:rsidP="00FD4431">
            <w:pPr>
              <w:widowControl/>
              <w:spacing w:line="2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3B0837" w:rsidRPr="00DB2385" w:rsidTr="00FD4431">
        <w:trPr>
          <w:trHeight w:val="582"/>
        </w:trPr>
        <w:tc>
          <w:tcPr>
            <w:tcW w:w="2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837" w:rsidRPr="00DB2385" w:rsidRDefault="003B0837">
            <w:pPr>
              <w:widowControl/>
              <w:spacing w:line="300" w:lineRule="exact"/>
              <w:ind w:left="-94" w:right="-75"/>
              <w:jc w:val="center"/>
              <w:rPr>
                <w:rFonts w:ascii="ＭＳ Ｐゴシック" w:eastAsia="ＭＳ Ｐゴシック" w:hAnsi="ＭＳ Ｐゴシック" w:cs="ＭＳ Ｐゴシック"/>
                <w:kern w:val="0"/>
                <w:sz w:val="20"/>
                <w:szCs w:val="20"/>
              </w:rPr>
            </w:pPr>
            <w:r w:rsidRPr="00DB2385">
              <w:rPr>
                <w:rFonts w:ascii="ＭＳ Ｐゴシック" w:eastAsia="ＭＳ Ｐゴシック" w:hAnsi="ＭＳ Ｐゴシック" w:cs="ＭＳ Ｐゴシック" w:hint="eastAsia"/>
                <w:kern w:val="0"/>
                <w:sz w:val="20"/>
                <w:szCs w:val="20"/>
              </w:rPr>
              <w:t>保険薬局名・連絡先等</w:t>
            </w:r>
          </w:p>
        </w:tc>
        <w:tc>
          <w:tcPr>
            <w:tcW w:w="7509" w:type="dxa"/>
            <w:gridSpan w:val="8"/>
            <w:tcBorders>
              <w:top w:val="single" w:sz="4" w:space="0" w:color="auto"/>
              <w:left w:val="nil"/>
              <w:bottom w:val="single" w:sz="4" w:space="0" w:color="auto"/>
              <w:right w:val="single" w:sz="4" w:space="0" w:color="000000"/>
            </w:tcBorders>
            <w:shd w:val="clear" w:color="auto" w:fill="auto"/>
            <w:noWrap/>
            <w:vAlign w:val="center"/>
          </w:tcPr>
          <w:p w:rsidR="00FD4431" w:rsidRDefault="00FD4431">
            <w:pPr>
              <w:widowControl/>
              <w:spacing w:line="300" w:lineRule="exact"/>
              <w:jc w:val="center"/>
              <w:rPr>
                <w:rFonts w:ascii="ＭＳ Ｐゴシック" w:eastAsia="ＭＳ Ｐゴシック" w:hAnsi="ＭＳ Ｐゴシック" w:cs="ＭＳ Ｐゴシック"/>
                <w:kern w:val="0"/>
                <w:szCs w:val="21"/>
              </w:rPr>
            </w:pPr>
          </w:p>
          <w:p w:rsidR="00FD4431" w:rsidRDefault="00FD4431">
            <w:pPr>
              <w:widowControl/>
              <w:spacing w:line="300" w:lineRule="exact"/>
              <w:jc w:val="center"/>
              <w:rPr>
                <w:rFonts w:ascii="ＭＳ Ｐゴシック" w:eastAsia="ＭＳ Ｐゴシック" w:hAnsi="ＭＳ Ｐゴシック" w:cs="ＭＳ Ｐゴシック"/>
                <w:kern w:val="0"/>
                <w:szCs w:val="21"/>
              </w:rPr>
            </w:pPr>
          </w:p>
          <w:p w:rsidR="00FD4431" w:rsidRDefault="00FD4431">
            <w:pPr>
              <w:widowControl/>
              <w:spacing w:line="300" w:lineRule="exact"/>
              <w:jc w:val="center"/>
              <w:rPr>
                <w:rFonts w:ascii="ＭＳ Ｐゴシック" w:eastAsia="ＭＳ Ｐゴシック" w:hAnsi="ＭＳ Ｐゴシック" w:cs="ＭＳ Ｐゴシック"/>
                <w:kern w:val="0"/>
                <w:szCs w:val="21"/>
              </w:rPr>
            </w:pPr>
          </w:p>
          <w:p w:rsidR="003B0837" w:rsidRPr="00DB2385" w:rsidRDefault="003B0837">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bl>
    <w:p w:rsidR="00FD4431" w:rsidRPr="00F669B1" w:rsidRDefault="0097446D" w:rsidP="00FD4431">
      <w:pPr>
        <w:ind w:leftChars="4320" w:left="9072"/>
      </w:pPr>
      <w:r w:rsidRPr="00F87E47">
        <w:rPr>
          <w:rFonts w:ascii="ＭＳ Ｐゴシック" w:eastAsia="ＭＳ Ｐゴシック" w:hAnsi="ＭＳ Ｐゴシック" w:cs="ＭＳ Ｐゴシック" w:hint="eastAsia"/>
          <w:kern w:val="0"/>
          <w:szCs w:val="21"/>
        </w:rPr>
        <w:t>202</w:t>
      </w:r>
      <w:r w:rsidR="003C15F9" w:rsidRPr="00F87E47">
        <w:rPr>
          <w:rFonts w:ascii="ＭＳ Ｐゴシック" w:eastAsia="ＭＳ Ｐゴシック" w:hAnsi="ＭＳ Ｐゴシック" w:cs="ＭＳ Ｐゴシック" w:hint="eastAsia"/>
          <w:kern w:val="0"/>
          <w:szCs w:val="21"/>
        </w:rPr>
        <w:t>2</w:t>
      </w:r>
      <w:r w:rsidRPr="00F87E47">
        <w:rPr>
          <w:rFonts w:ascii="ＭＳ Ｐゴシック" w:eastAsia="ＭＳ Ｐゴシック" w:hAnsi="ＭＳ Ｐゴシック" w:cs="ＭＳ Ｐゴシック" w:hint="eastAsia"/>
          <w:kern w:val="0"/>
          <w:szCs w:val="21"/>
        </w:rPr>
        <w:t>年4月</w:t>
      </w:r>
    </w:p>
    <w:sectPr w:rsidR="00FD4431" w:rsidRPr="00F669B1" w:rsidSect="000976BC">
      <w:footerReference w:type="default" r:id="rId7"/>
      <w:pgSz w:w="11906" w:h="16838" w:code="9"/>
      <w:pgMar w:top="1134" w:right="851" w:bottom="709"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34" w:rsidRDefault="002F4634">
      <w:r>
        <w:separator/>
      </w:r>
    </w:p>
  </w:endnote>
  <w:endnote w:type="continuationSeparator" w:id="0">
    <w:p w:rsidR="002F4634" w:rsidRDefault="002F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37" w:rsidRDefault="003B0837">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87E47">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F87E47">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34" w:rsidRDefault="002F4634">
      <w:r>
        <w:separator/>
      </w:r>
    </w:p>
  </w:footnote>
  <w:footnote w:type="continuationSeparator" w:id="0">
    <w:p w:rsidR="002F4634" w:rsidRDefault="002F4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6E"/>
    <w:rsid w:val="00020857"/>
    <w:rsid w:val="000976BC"/>
    <w:rsid w:val="00160923"/>
    <w:rsid w:val="001969F6"/>
    <w:rsid w:val="001C11C4"/>
    <w:rsid w:val="002F4634"/>
    <w:rsid w:val="00311B2F"/>
    <w:rsid w:val="0035646E"/>
    <w:rsid w:val="003B0837"/>
    <w:rsid w:val="003B6981"/>
    <w:rsid w:val="003C15F9"/>
    <w:rsid w:val="005B3615"/>
    <w:rsid w:val="00882DFF"/>
    <w:rsid w:val="00893863"/>
    <w:rsid w:val="0097446D"/>
    <w:rsid w:val="009920D5"/>
    <w:rsid w:val="00A113B1"/>
    <w:rsid w:val="00AC19FD"/>
    <w:rsid w:val="00AE602A"/>
    <w:rsid w:val="00BB4F71"/>
    <w:rsid w:val="00DF3A8C"/>
    <w:rsid w:val="00E13FF7"/>
    <w:rsid w:val="00E2161E"/>
    <w:rsid w:val="00EF1F8C"/>
    <w:rsid w:val="00EF4D9C"/>
    <w:rsid w:val="00F87E47"/>
    <w:rsid w:val="00FB3E39"/>
    <w:rsid w:val="00FD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F0D8A0B-22E8-48B6-A312-1DA8FA80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20857"/>
    <w:rPr>
      <w:rFonts w:ascii="Arial" w:eastAsia="ＭＳ ゴシック" w:hAnsi="Arial"/>
      <w:sz w:val="18"/>
      <w:szCs w:val="18"/>
    </w:rPr>
  </w:style>
  <w:style w:type="character" w:customStyle="1" w:styleId="a7">
    <w:name w:val="吹き出し (文字)"/>
    <w:link w:val="a6"/>
    <w:rsid w:val="00020857"/>
    <w:rPr>
      <w:rFonts w:ascii="Arial" w:eastAsia="ＭＳ ゴシック" w:hAnsi="Arial" w:cs="Times New Roman"/>
      <w:kern w:val="2"/>
      <w:sz w:val="18"/>
      <w:szCs w:val="18"/>
    </w:rPr>
  </w:style>
  <w:style w:type="paragraph" w:styleId="a8">
    <w:name w:val="List Paragraph"/>
    <w:basedOn w:val="a"/>
    <w:uiPriority w:val="34"/>
    <w:qFormat/>
    <w:rsid w:val="00A113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89068">
      <w:bodyDiv w:val="1"/>
      <w:marLeft w:val="0"/>
      <w:marRight w:val="0"/>
      <w:marTop w:val="0"/>
      <w:marBottom w:val="0"/>
      <w:divBdr>
        <w:top w:val="none" w:sz="0" w:space="0" w:color="auto"/>
        <w:left w:val="none" w:sz="0" w:space="0" w:color="auto"/>
        <w:bottom w:val="none" w:sz="0" w:space="0" w:color="auto"/>
        <w:right w:val="none" w:sz="0" w:space="0" w:color="auto"/>
      </w:divBdr>
    </w:div>
    <w:div w:id="1129008105">
      <w:bodyDiv w:val="1"/>
      <w:marLeft w:val="0"/>
      <w:marRight w:val="0"/>
      <w:marTop w:val="0"/>
      <w:marBottom w:val="0"/>
      <w:divBdr>
        <w:top w:val="none" w:sz="0" w:space="0" w:color="auto"/>
        <w:left w:val="none" w:sz="0" w:space="0" w:color="auto"/>
        <w:bottom w:val="none" w:sz="0" w:space="0" w:color="auto"/>
        <w:right w:val="none" w:sz="0" w:space="0" w:color="auto"/>
      </w:divBdr>
    </w:div>
    <w:div w:id="1365209942">
      <w:bodyDiv w:val="1"/>
      <w:marLeft w:val="0"/>
      <w:marRight w:val="0"/>
      <w:marTop w:val="0"/>
      <w:marBottom w:val="0"/>
      <w:divBdr>
        <w:top w:val="none" w:sz="0" w:space="0" w:color="auto"/>
        <w:left w:val="none" w:sz="0" w:space="0" w:color="auto"/>
        <w:bottom w:val="none" w:sz="0" w:space="0" w:color="auto"/>
        <w:right w:val="none" w:sz="0" w:space="0" w:color="auto"/>
      </w:divBdr>
    </w:div>
    <w:div w:id="1384523844">
      <w:bodyDiv w:val="1"/>
      <w:marLeft w:val="0"/>
      <w:marRight w:val="0"/>
      <w:marTop w:val="0"/>
      <w:marBottom w:val="0"/>
      <w:divBdr>
        <w:top w:val="none" w:sz="0" w:space="0" w:color="auto"/>
        <w:left w:val="none" w:sz="0" w:space="0" w:color="auto"/>
        <w:bottom w:val="none" w:sz="0" w:space="0" w:color="auto"/>
        <w:right w:val="none" w:sz="0" w:space="0" w:color="auto"/>
      </w:divBdr>
    </w:div>
    <w:div w:id="1543978628">
      <w:bodyDiv w:val="1"/>
      <w:marLeft w:val="0"/>
      <w:marRight w:val="0"/>
      <w:marTop w:val="0"/>
      <w:marBottom w:val="0"/>
      <w:divBdr>
        <w:top w:val="none" w:sz="0" w:space="0" w:color="auto"/>
        <w:left w:val="none" w:sz="0" w:space="0" w:color="auto"/>
        <w:bottom w:val="none" w:sz="0" w:space="0" w:color="auto"/>
        <w:right w:val="none" w:sz="0" w:space="0" w:color="auto"/>
      </w:divBdr>
    </w:div>
    <w:div w:id="2004311589">
      <w:bodyDiv w:val="1"/>
      <w:marLeft w:val="0"/>
      <w:marRight w:val="0"/>
      <w:marTop w:val="0"/>
      <w:marBottom w:val="0"/>
      <w:divBdr>
        <w:top w:val="none" w:sz="0" w:space="0" w:color="auto"/>
        <w:left w:val="none" w:sz="0" w:space="0" w:color="auto"/>
        <w:bottom w:val="none" w:sz="0" w:space="0" w:color="auto"/>
        <w:right w:val="none" w:sz="0" w:space="0" w:color="auto"/>
      </w:divBdr>
    </w:div>
    <w:div w:id="2006668118">
      <w:bodyDiv w:val="1"/>
      <w:marLeft w:val="0"/>
      <w:marRight w:val="0"/>
      <w:marTop w:val="0"/>
      <w:marBottom w:val="0"/>
      <w:divBdr>
        <w:top w:val="none" w:sz="0" w:space="0" w:color="auto"/>
        <w:left w:val="none" w:sz="0" w:space="0" w:color="auto"/>
        <w:bottom w:val="none" w:sz="0" w:space="0" w:color="auto"/>
        <w:right w:val="none" w:sz="0" w:space="0" w:color="auto"/>
      </w:divBdr>
    </w:div>
    <w:div w:id="21132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1259</Words>
  <Characters>402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『レボカバスチン点眼液0</vt:lpstr>
      <vt:lpstr>『レボカバスチン点眼液0</vt:lpstr>
    </vt:vector>
  </TitlesOfParts>
  <Company>千寿製薬株式会社</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『レボカバスチン点眼液0</dc:title>
  <dc:creator>千寿製薬株式会社</dc:creator>
  <cp:lastModifiedBy>30060100:辻広隆志S</cp:lastModifiedBy>
  <cp:revision>9</cp:revision>
  <cp:lastPrinted>2014-04-02T08:53:00Z</cp:lastPrinted>
  <dcterms:created xsi:type="dcterms:W3CDTF">2019-08-20T01:58:00Z</dcterms:created>
  <dcterms:modified xsi:type="dcterms:W3CDTF">2022-02-03T02:25:00Z</dcterms:modified>
</cp:coreProperties>
</file>