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8"/>
        <w:gridCol w:w="4176"/>
        <w:gridCol w:w="2802"/>
        <w:gridCol w:w="219"/>
      </w:tblGrid>
      <w:tr w:rsidR="004B5406" w:rsidRPr="00730563" w:rsidTr="004F40F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RANGE!A1:F25"/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一般名</w:t>
            </w:r>
            <w:bookmarkEnd w:id="0"/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クロモグリク酸ナトリウム</w:t>
            </w:r>
          </w:p>
        </w:tc>
      </w:tr>
      <w:tr w:rsidR="004B5406" w:rsidRPr="00730563" w:rsidTr="004F40F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1" w:name="_GoBack"/>
            <w:bookmarkEnd w:id="1"/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剤 形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水性点眼剤</w:t>
            </w:r>
          </w:p>
        </w:tc>
      </w:tr>
      <w:tr w:rsidR="004B5406" w:rsidRPr="00730563" w:rsidTr="004F40F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薬効分類名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アレルギー性結膜炎治療剤</w:t>
            </w:r>
          </w:p>
        </w:tc>
      </w:tr>
      <w:tr w:rsidR="004B5406" w:rsidRPr="00730563" w:rsidTr="004F40F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成分・含量（１mL中）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クロモグリク酸ナトリウム　20mg</w:t>
            </w:r>
          </w:p>
        </w:tc>
      </w:tr>
      <w:tr w:rsidR="004B5406" w:rsidRPr="00730563" w:rsidTr="00A60A06">
        <w:trPr>
          <w:trHeight w:val="397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後発医薬品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先発医薬品</w:t>
            </w: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製品名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F4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4F40FA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クロモグリク酸Na点眼液2％「センジュ」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製造販売会社名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千寿製薬株式会社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 価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 w:rsidP="00905D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100mg</w:t>
            </w:r>
            <w:r w:rsidR="001C017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5mL</w:t>
            </w:r>
            <w:r w:rsidR="00905DD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1</w:t>
            </w: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瓶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="00A53776" w:rsidRPr="001E344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230.20</w:t>
            </w:r>
            <w:r w:rsidRPr="003E40E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添加物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エデト酸ナトリウム水和物、ベンザルコニウム塩化物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性状（　色　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無色～微黄色澄明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D13F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pH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5.0　～　6.0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貯 法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室温保存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4F40F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品質再評価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該当しない。</w:t>
            </w:r>
          </w:p>
        </w:tc>
      </w:tr>
      <w:tr w:rsidR="004B5406" w:rsidRPr="00730563" w:rsidTr="004F40FA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生物学的</w:t>
            </w: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同等性試験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【薬効薬理】</w:t>
            </w:r>
          </w:p>
        </w:tc>
      </w:tr>
      <w:tr w:rsidR="004B5406" w:rsidRPr="00730563" w:rsidTr="004F40FA">
        <w:trPr>
          <w:trHeight w:val="2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4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ラットの片眼にcompound48/80溶液を点眼し、結膜炎を惹起すると同時にEvans’blue溶液を静脈内投与した。30分後に結膜を含む眼瞼を切り出し、色素を抽出して色素漏出量を測定し、結膜炎の指標とした。本剤あるいは標準製剤は結膜炎惹起の30、60及び120分前に点眼した。その結果、両製剤間における色素漏出量の平均値の差の90％信頼性区間は-0.481μg～</w:t>
            </w:r>
          </w:p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0.699μgであり、標準製剤の平均値に対する割合が-10％～14％と許容範囲を±20％と設定するとき、両剤の生物学的同等性が確認された。</w:t>
            </w:r>
          </w:p>
        </w:tc>
      </w:tr>
      <w:tr w:rsidR="004B5406" w:rsidRPr="00730563" w:rsidTr="00AA6D4B">
        <w:trPr>
          <w:trHeight w:val="4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730563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色素漏出量（μｇ）</w:t>
            </w:r>
          </w:p>
        </w:tc>
        <w:tc>
          <w:tcPr>
            <w:tcW w:w="2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4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F40F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4F40F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クロモグリク酸Na点眼液2％「センジュ」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4.93 ± 0.24</w:t>
            </w:r>
          </w:p>
        </w:tc>
        <w:tc>
          <w:tcPr>
            <w:tcW w:w="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A6D4B">
        <w:trPr>
          <w:trHeight w:val="4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標準製剤（点眼液、2％）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5.04 ± 0.25</w:t>
            </w:r>
          </w:p>
        </w:tc>
        <w:tc>
          <w:tcPr>
            <w:tcW w:w="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4F40FA">
        <w:trPr>
          <w:trHeight w:val="4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（平均値±標準誤差，ｎ＝20）</w:t>
            </w:r>
          </w:p>
        </w:tc>
      </w:tr>
      <w:tr w:rsidR="004B5406" w:rsidRPr="00730563" w:rsidTr="004F40FA">
        <w:trPr>
          <w:trHeight w:val="10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 考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B5406" w:rsidRPr="00730563" w:rsidTr="00A60A06">
        <w:trPr>
          <w:trHeight w:val="260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4F40FA">
        <w:trPr>
          <w:trHeight w:val="10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保険薬局名・連絡先等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4B5406" w:rsidRDefault="004B5406">
      <w:pPr>
        <w:tabs>
          <w:tab w:val="left" w:pos="7380"/>
        </w:tabs>
        <w:ind w:right="28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4B5406" w:rsidRPr="00296EB6" w:rsidRDefault="004B5406" w:rsidP="00297B82">
      <w:pPr>
        <w:tabs>
          <w:tab w:val="left" w:pos="7380"/>
        </w:tabs>
        <w:ind w:right="-286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1E344C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E24EC5" w:rsidRPr="001E344C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A53776" w:rsidRPr="001E344C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1E344C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D13FA4" w:rsidRPr="001E344C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Pr="001E344C">
        <w:rPr>
          <w:rFonts w:ascii="ＭＳ Ｐゴシック" w:eastAsia="ＭＳ Ｐゴシック" w:hAnsi="ＭＳ Ｐゴシック" w:hint="eastAsia"/>
          <w:sz w:val="22"/>
          <w:szCs w:val="22"/>
        </w:rPr>
        <w:t>月</w:t>
      </w:r>
    </w:p>
    <w:sectPr w:rsidR="004B5406" w:rsidRPr="00296EB6" w:rsidSect="00297B82">
      <w:headerReference w:type="default" r:id="rId7"/>
      <w:footerReference w:type="default" r:id="rId8"/>
      <w:pgSz w:w="11906" w:h="16838" w:code="9"/>
      <w:pgMar w:top="1418" w:right="1418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57" w:rsidRDefault="009E5A57">
      <w:r>
        <w:separator/>
      </w:r>
    </w:p>
  </w:endnote>
  <w:endnote w:type="continuationSeparator" w:id="0">
    <w:p w:rsidR="009E5A57" w:rsidRDefault="009E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6" w:rsidRDefault="004B540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57" w:rsidRDefault="009E5A57">
      <w:r>
        <w:separator/>
      </w:r>
    </w:p>
  </w:footnote>
  <w:footnote w:type="continuationSeparator" w:id="0">
    <w:p w:rsidR="009E5A57" w:rsidRDefault="009E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6" w:rsidRPr="00296EB6" w:rsidRDefault="001C0174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『</w:t>
    </w:r>
    <w:r w:rsidR="004F40FA" w:rsidRPr="004F40FA">
      <w:rPr>
        <w:rFonts w:ascii="ＭＳ Ｐゴシック" w:eastAsia="ＭＳ Ｐゴシック" w:hAnsi="ＭＳ Ｐゴシック" w:hint="eastAsia"/>
        <w:sz w:val="24"/>
        <w:szCs w:val="24"/>
      </w:rPr>
      <w:t>クロモグリク酸Na点眼液2％「センジュ」</w:t>
    </w:r>
    <w:r>
      <w:rPr>
        <w:rFonts w:ascii="ＭＳ Ｐゴシック" w:eastAsia="ＭＳ Ｐゴシック" w:hAnsi="ＭＳ Ｐゴシック" w:hint="eastAsia"/>
        <w:sz w:val="24"/>
        <w:szCs w:val="24"/>
      </w:rPr>
      <w:t>』</w:t>
    </w:r>
    <w:r w:rsidR="004B5406" w:rsidRPr="00296EB6">
      <w:rPr>
        <w:rFonts w:ascii="ＭＳ Ｐゴシック" w:eastAsia="ＭＳ Ｐゴシック" w:hAnsi="ＭＳ Ｐゴシック" w:hint="eastAsia"/>
        <w:sz w:val="24"/>
        <w:szCs w:val="24"/>
      </w:rPr>
      <w:t>の先発医薬品との比較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06"/>
    <w:rsid w:val="00125851"/>
    <w:rsid w:val="001C0174"/>
    <w:rsid w:val="001E344C"/>
    <w:rsid w:val="00233328"/>
    <w:rsid w:val="00285B31"/>
    <w:rsid w:val="00297B82"/>
    <w:rsid w:val="003E40ED"/>
    <w:rsid w:val="004B5406"/>
    <w:rsid w:val="004F40FA"/>
    <w:rsid w:val="00764E93"/>
    <w:rsid w:val="007D188C"/>
    <w:rsid w:val="008A1432"/>
    <w:rsid w:val="008E126B"/>
    <w:rsid w:val="00905DD0"/>
    <w:rsid w:val="009E5A57"/>
    <w:rsid w:val="00A53776"/>
    <w:rsid w:val="00A60A06"/>
    <w:rsid w:val="00AA6D4B"/>
    <w:rsid w:val="00AB43F0"/>
    <w:rsid w:val="00AB5503"/>
    <w:rsid w:val="00AC7F61"/>
    <w:rsid w:val="00D13FA4"/>
    <w:rsid w:val="00DD26A2"/>
    <w:rsid w:val="00DF1AEF"/>
    <w:rsid w:val="00E24EC5"/>
    <w:rsid w:val="00E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98B41B0-93D6-4E8E-8DE1-10CA62BA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1C0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1C0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FD38C60-BE2F-4E1B-A75C-C460E15D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一般名</vt:lpstr>
      <vt:lpstr>一般名</vt:lpstr>
    </vt:vector>
  </TitlesOfParts>
  <Company>千寿製薬株式会社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一般名</dc:title>
  <dc:creator>千寿製薬　カスタマーサポート室</dc:creator>
  <cp:lastModifiedBy>30060100:辻広隆志S</cp:lastModifiedBy>
  <cp:revision>12</cp:revision>
  <cp:lastPrinted>2021-03-09T07:30:00Z</cp:lastPrinted>
  <dcterms:created xsi:type="dcterms:W3CDTF">2020-10-02T03:28:00Z</dcterms:created>
  <dcterms:modified xsi:type="dcterms:W3CDTF">2022-02-03T01:49:00Z</dcterms:modified>
</cp:coreProperties>
</file>