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66" w:rsidRPr="006F7C2B" w:rsidRDefault="00793D66">
      <w:pPr>
        <w:rPr>
          <w:rFonts w:ascii="ＭＳ ゴシック" w:eastAsia="ＭＳ ゴシック" w:hAnsi="ＭＳ ゴシック"/>
        </w:rPr>
      </w:pPr>
      <w:r>
        <w:rPr>
          <w:rFonts w:ascii="ＭＳ ゴシック" w:eastAsia="ＭＳ ゴシック" w:hAnsi="ＭＳ ゴシック" w:hint="eastAsia"/>
        </w:rPr>
        <w:t>『</w:t>
      </w:r>
      <w:r w:rsidR="001B1ECA" w:rsidRPr="001B1ECA">
        <w:rPr>
          <w:rFonts w:ascii="ＭＳ ゴシック" w:eastAsia="ＭＳ ゴシック" w:hAnsi="ＭＳ ゴシック" w:hint="eastAsia"/>
        </w:rPr>
        <w:t>ブリンゾラミド懸濁性点眼液1％「センジュ」</w:t>
      </w:r>
      <w:r w:rsidRPr="006F7C2B">
        <w:rPr>
          <w:rFonts w:ascii="ＭＳ ゴシック" w:eastAsia="ＭＳ ゴシック" w:hAnsi="ＭＳ ゴシック" w:hint="eastAsia"/>
        </w:rPr>
        <w:t>』の先発医薬品との比較</w:t>
      </w:r>
    </w:p>
    <w:p w:rsidR="00793D66" w:rsidRPr="006F7C2B" w:rsidRDefault="00793D66">
      <w:pPr>
        <w:rPr>
          <w:rFonts w:ascii="ＭＳ ゴシック" w:eastAsia="ＭＳ ゴシック" w:hAnsi="ＭＳ ゴシック"/>
        </w:rPr>
      </w:pPr>
    </w:p>
    <w:tbl>
      <w:tblPr>
        <w:tblW w:w="10107" w:type="dxa"/>
        <w:tblInd w:w="94" w:type="dxa"/>
        <w:tblCellMar>
          <w:left w:w="99" w:type="dxa"/>
          <w:right w:w="99" w:type="dxa"/>
        </w:tblCellMar>
        <w:tblLook w:val="0000" w:firstRow="0" w:lastRow="0" w:firstColumn="0" w:lastColumn="0" w:noHBand="0" w:noVBand="0"/>
      </w:tblPr>
      <w:tblGrid>
        <w:gridCol w:w="1190"/>
        <w:gridCol w:w="838"/>
        <w:gridCol w:w="570"/>
        <w:gridCol w:w="3399"/>
        <w:gridCol w:w="784"/>
        <w:gridCol w:w="218"/>
        <w:gridCol w:w="282"/>
        <w:gridCol w:w="2401"/>
        <w:gridCol w:w="425"/>
      </w:tblGrid>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一般名</w:t>
            </w:r>
            <w:bookmarkStart w:id="0" w:name="_GoBack"/>
            <w:bookmarkEnd w:id="0"/>
          </w:p>
        </w:tc>
        <w:tc>
          <w:tcPr>
            <w:tcW w:w="8079" w:type="dxa"/>
            <w:gridSpan w:val="7"/>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rsidP="001E2063">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ブリンゾラミド</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剤　形</w:t>
            </w:r>
          </w:p>
        </w:tc>
        <w:tc>
          <w:tcPr>
            <w:tcW w:w="8079" w:type="dxa"/>
            <w:gridSpan w:val="7"/>
            <w:tcBorders>
              <w:top w:val="single" w:sz="4" w:space="0" w:color="auto"/>
              <w:left w:val="nil"/>
              <w:bottom w:val="nil"/>
              <w:right w:val="single" w:sz="4" w:space="0" w:color="000000"/>
            </w:tcBorders>
            <w:shd w:val="clear" w:color="auto" w:fill="auto"/>
            <w:vAlign w:val="center"/>
          </w:tcPr>
          <w:p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水性懸濁点眼剤</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薬効分類名</w:t>
            </w:r>
          </w:p>
        </w:tc>
        <w:tc>
          <w:tcPr>
            <w:tcW w:w="8079" w:type="dxa"/>
            <w:gridSpan w:val="7"/>
            <w:tcBorders>
              <w:top w:val="single" w:sz="4" w:space="0" w:color="auto"/>
              <w:left w:val="nil"/>
              <w:bottom w:val="single" w:sz="4" w:space="0" w:color="auto"/>
              <w:right w:val="single" w:sz="4" w:space="0" w:color="000000"/>
            </w:tcBorders>
            <w:shd w:val="clear" w:color="auto" w:fill="auto"/>
            <w:vAlign w:val="center"/>
          </w:tcPr>
          <w:p w:rsidR="00793D66" w:rsidRPr="002C0632"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眼圧下降剤</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成分・含量</w:t>
            </w:r>
            <w:r w:rsidRPr="00545513">
              <w:rPr>
                <w:rFonts w:ascii="ＭＳ Ｐゴシック" w:eastAsia="ＭＳ Ｐゴシック" w:hAnsi="ＭＳ Ｐゴシック" w:cs="ＭＳ Ｐゴシック" w:hint="eastAsia"/>
                <w:kern w:val="0"/>
                <w:szCs w:val="21"/>
              </w:rPr>
              <w:br/>
              <w:t>（１mL中）</w:t>
            </w:r>
          </w:p>
        </w:tc>
        <w:tc>
          <w:tcPr>
            <w:tcW w:w="8079" w:type="dxa"/>
            <w:gridSpan w:val="7"/>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rsidP="00F2598C">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ブリンゾラミド10mg</w:t>
            </w:r>
          </w:p>
        </w:tc>
      </w:tr>
      <w:tr w:rsidR="00793D66" w:rsidRPr="00545513" w:rsidTr="00D9378D">
        <w:trPr>
          <w:trHeight w:val="20"/>
        </w:trPr>
        <w:tc>
          <w:tcPr>
            <w:tcW w:w="1190"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838"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570"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4183" w:type="dxa"/>
            <w:gridSpan w:val="2"/>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82"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401"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nil"/>
            </w:tcBorders>
            <w:shd w:val="clear" w:color="auto" w:fill="auto"/>
            <w:noWrap/>
            <w:vAlign w:val="center"/>
          </w:tcPr>
          <w:p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後発医薬品</w:t>
            </w:r>
          </w:p>
        </w:tc>
        <w:tc>
          <w:tcPr>
            <w:tcW w:w="4110" w:type="dxa"/>
            <w:gridSpan w:val="5"/>
            <w:tcBorders>
              <w:top w:val="single" w:sz="4" w:space="0" w:color="auto"/>
              <w:left w:val="nil"/>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先発医薬品</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製品名</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ブリンゾラミド懸濁性点眼液1％「センジュ」</w:t>
            </w:r>
          </w:p>
        </w:tc>
        <w:tc>
          <w:tcPr>
            <w:tcW w:w="4110" w:type="dxa"/>
            <w:gridSpan w:val="5"/>
            <w:tcBorders>
              <w:top w:val="single" w:sz="4" w:space="0" w:color="auto"/>
              <w:left w:val="nil"/>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製造販売会社</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千寿</w:t>
            </w:r>
            <w:r w:rsidRPr="00545513">
              <w:rPr>
                <w:rFonts w:ascii="ＭＳ Ｐゴシック" w:eastAsia="ＭＳ Ｐゴシック" w:hAnsi="ＭＳ Ｐゴシック" w:cs="ＭＳ Ｐゴシック" w:hint="eastAsia"/>
                <w:kern w:val="0"/>
                <w:szCs w:val="21"/>
              </w:rPr>
              <w:t>製薬株式会社</w:t>
            </w:r>
          </w:p>
        </w:tc>
        <w:tc>
          <w:tcPr>
            <w:tcW w:w="4110" w:type="dxa"/>
            <w:gridSpan w:val="5"/>
            <w:tcBorders>
              <w:top w:val="single" w:sz="4" w:space="0" w:color="auto"/>
              <w:left w:val="nil"/>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　価</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383BBA" w:rsidP="003D478E">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1</w:t>
            </w:r>
            <w:r>
              <w:rPr>
                <w:rFonts w:ascii="ＭＳ Ｐゴシック" w:eastAsia="ＭＳ Ｐゴシック" w:hAnsi="ＭＳ Ｐゴシック" w:cs="ＭＳ Ｐゴシック" w:hint="eastAsia"/>
                <w:kern w:val="0"/>
                <w:szCs w:val="21"/>
              </w:rPr>
              <w:t xml:space="preserve">％ </w:t>
            </w:r>
            <w:r w:rsidR="001B1ECA" w:rsidRPr="001B1ECA">
              <w:rPr>
                <w:rFonts w:ascii="ＭＳ Ｐゴシック" w:eastAsia="ＭＳ Ｐゴシック" w:hAnsi="ＭＳ Ｐゴシック" w:cs="ＭＳ Ｐゴシック" w:hint="eastAsia"/>
                <w:kern w:val="0"/>
                <w:szCs w:val="21"/>
              </w:rPr>
              <w:t xml:space="preserve">1mL　</w:t>
            </w:r>
            <w:r w:rsidR="00816807" w:rsidRPr="00C8732D">
              <w:rPr>
                <w:rFonts w:ascii="ＭＳ Ｐゴシック" w:eastAsia="ＭＳ Ｐゴシック" w:hAnsi="ＭＳ Ｐゴシック" w:cs="ＭＳ Ｐゴシック" w:hint="eastAsia"/>
                <w:kern w:val="0"/>
                <w:szCs w:val="21"/>
              </w:rPr>
              <w:t>131.80</w:t>
            </w:r>
            <w:r w:rsidR="008F54D0" w:rsidRPr="008F54D0">
              <w:rPr>
                <w:rFonts w:ascii="ＭＳ Ｐゴシック" w:eastAsia="ＭＳ Ｐゴシック" w:hAnsi="ＭＳ Ｐゴシック" w:cs="ＭＳ Ｐゴシック" w:hint="eastAsia"/>
                <w:kern w:val="0"/>
                <w:szCs w:val="21"/>
              </w:rPr>
              <w:t>円</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添加物</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pPr>
              <w:widowControl/>
              <w:spacing w:line="360" w:lineRule="exact"/>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カルボキシビニルポリマー、チロキサポール、D-マンニトール、塩化ナトリウム、エデト酸ナトリウム水和物、ベンザルコニウム塩化物、水酸化ナトリウム、塩酸</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lef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性状（　色　）</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白色～微黄白色の懸濁</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pH</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7.0～8.0</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貯　法</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93D66" w:rsidRPr="00545513" w:rsidRDefault="001B1ECA" w:rsidP="001B1ECA">
            <w:pPr>
              <w:widowControl/>
              <w:spacing w:line="360" w:lineRule="exact"/>
              <w:ind w:firstLineChars="100" w:firstLine="210"/>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室温保存</w:t>
            </w:r>
          </w:p>
        </w:tc>
        <w:tc>
          <w:tcPr>
            <w:tcW w:w="4110" w:type="dxa"/>
            <w:gridSpan w:val="5"/>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rsidTr="00D9378D">
        <w:trPr>
          <w:trHeight w:val="20"/>
        </w:trPr>
        <w:tc>
          <w:tcPr>
            <w:tcW w:w="202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品質再評価</w:t>
            </w:r>
          </w:p>
        </w:tc>
        <w:tc>
          <w:tcPr>
            <w:tcW w:w="8079" w:type="dxa"/>
            <w:gridSpan w:val="7"/>
            <w:tcBorders>
              <w:top w:val="single" w:sz="4" w:space="0" w:color="auto"/>
              <w:left w:val="nil"/>
              <w:bottom w:val="single" w:sz="4" w:space="0" w:color="auto"/>
              <w:right w:val="single" w:sz="4" w:space="0" w:color="000000"/>
            </w:tcBorders>
            <w:shd w:val="clear" w:color="auto" w:fill="auto"/>
            <w:vAlign w:val="center"/>
          </w:tcPr>
          <w:p w:rsidR="00793D66" w:rsidRPr="00545513" w:rsidRDefault="00793D66" w:rsidP="001E2063">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該当しない。</w:t>
            </w:r>
          </w:p>
        </w:tc>
      </w:tr>
      <w:tr w:rsidR="00F2598C" w:rsidRPr="00545513" w:rsidTr="00D9378D">
        <w:trPr>
          <w:trHeight w:val="20"/>
        </w:trPr>
        <w:tc>
          <w:tcPr>
            <w:tcW w:w="2028" w:type="dxa"/>
            <w:gridSpan w:val="2"/>
            <w:tcBorders>
              <w:top w:val="single" w:sz="4" w:space="0" w:color="000000"/>
              <w:left w:val="single" w:sz="4" w:space="0" w:color="auto"/>
              <w:right w:val="single" w:sz="4" w:space="0" w:color="000000"/>
            </w:tcBorders>
            <w:vAlign w:val="center"/>
          </w:tcPr>
          <w:p w:rsidR="00F2598C" w:rsidRPr="00545513" w:rsidRDefault="00F2598C">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生物学的</w:t>
            </w:r>
            <w:r w:rsidRPr="00545513">
              <w:rPr>
                <w:rFonts w:ascii="ＭＳ Ｐゴシック" w:eastAsia="ＭＳ Ｐゴシック" w:hAnsi="ＭＳ Ｐゴシック" w:cs="ＭＳ Ｐゴシック" w:hint="eastAsia"/>
                <w:kern w:val="0"/>
                <w:szCs w:val="21"/>
              </w:rPr>
              <w:br/>
              <w:t>同等性試験</w:t>
            </w:r>
          </w:p>
        </w:tc>
        <w:tc>
          <w:tcPr>
            <w:tcW w:w="8079" w:type="dxa"/>
            <w:gridSpan w:val="7"/>
            <w:tcBorders>
              <w:top w:val="single" w:sz="4" w:space="0" w:color="auto"/>
              <w:left w:val="nil"/>
              <w:bottom w:val="single" w:sz="4" w:space="0" w:color="auto"/>
              <w:right w:val="single" w:sz="4" w:space="0" w:color="auto"/>
            </w:tcBorders>
            <w:shd w:val="clear" w:color="auto" w:fill="auto"/>
            <w:vAlign w:val="center"/>
          </w:tcPr>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r w:rsidRPr="001B1ECA">
              <w:rPr>
                <w:rFonts w:ascii="ＭＳ Ｐゴシック" w:eastAsia="ＭＳ Ｐゴシック" w:hAnsi="ＭＳ Ｐゴシック" w:cs="ＭＳ Ｐゴシック" w:hint="eastAsia"/>
                <w:color w:val="000000"/>
                <w:kern w:val="0"/>
                <w:szCs w:val="21"/>
              </w:rPr>
              <w:t>ブリンゾラミド懸濁性点眼液1％「センジュ」又は標準製剤（点眼剤、1％）を、部分遮蔽、並行群間比較法により原発開放隅角緑内障又は高眼圧症患者の両眼に1 回1 滴1日2回4週間反復点眼し、眼圧値を測定した。得られたパラメータ〔治療期4 週10時におけるベースライン（ブリンゾラミド懸濁性点眼液1％「センジュ」：22.1±3.1mmHg、標準製剤（点眼剤、1％）：22.1±3.0mmHg）からの眼圧変化量〕について95％信頼区間法にて統計解析を行った結果、同等の許容域±1.5mmHgの範囲内であり、両剤の生物学的同等性が確認された。</w:t>
            </w:r>
          </w:p>
          <w:p w:rsidR="001B1ECA" w:rsidRPr="001B1ECA" w:rsidRDefault="001B1ECA" w:rsidP="001B1ECA">
            <w:pPr>
              <w:widowControl/>
              <w:spacing w:line="20" w:lineRule="atLeast"/>
              <w:jc w:val="left"/>
              <w:rPr>
                <w:rFonts w:ascii="ＭＳ Ｐゴシック" w:eastAsia="ＭＳ Ｐゴシック" w:hAnsi="ＭＳ Ｐゴシック" w:cs="ＭＳ Ｐゴシック"/>
                <w:color w:val="000000"/>
                <w:kern w:val="0"/>
                <w:szCs w:val="21"/>
              </w:rPr>
            </w:pPr>
          </w:p>
          <w:p w:rsidR="00F2598C"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r w:rsidRPr="001B1ECA">
              <w:rPr>
                <w:rFonts w:ascii="ＭＳ Ｐゴシック" w:eastAsia="ＭＳ Ｐゴシック" w:hAnsi="ＭＳ Ｐゴシック" w:cs="ＭＳ Ｐゴシック" w:hint="eastAsia"/>
                <w:color w:val="000000"/>
                <w:kern w:val="0"/>
                <w:szCs w:val="21"/>
              </w:rPr>
              <w:t>眼圧値の比較（mmHg）</w:t>
            </w: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Default="001B1ECA" w:rsidP="001B1ECA">
            <w:pPr>
              <w:widowControl/>
              <w:spacing w:line="360" w:lineRule="exact"/>
              <w:jc w:val="left"/>
              <w:rPr>
                <w:rFonts w:ascii="ＭＳ Ｐゴシック" w:eastAsia="ＭＳ Ｐゴシック" w:hAnsi="ＭＳ Ｐゴシック" w:cs="ＭＳ Ｐゴシック"/>
                <w:color w:val="000000"/>
                <w:kern w:val="0"/>
                <w:szCs w:val="21"/>
              </w:rPr>
            </w:pPr>
          </w:p>
          <w:p w:rsidR="001B1ECA" w:rsidRPr="00545513" w:rsidRDefault="001B1ECA" w:rsidP="001B1ECA">
            <w:pPr>
              <w:widowControl/>
              <w:spacing w:line="360" w:lineRule="exact"/>
              <w:jc w:val="center"/>
              <w:rPr>
                <w:rFonts w:ascii="ＭＳ Ｐゴシック" w:eastAsia="ＭＳ Ｐゴシック" w:hAnsi="ＭＳ Ｐゴシック" w:cs="ＭＳ Ｐゴシック"/>
                <w:color w:val="000000"/>
                <w:kern w:val="0"/>
                <w:szCs w:val="21"/>
              </w:rPr>
            </w:pPr>
            <w:r w:rsidRPr="001B1ECA">
              <w:rPr>
                <w:rFonts w:ascii="ＭＳ Ｐゴシック" w:eastAsia="ＭＳ Ｐゴシック" w:hAnsi="ＭＳ Ｐゴシック" w:cs="ＭＳ Ｐゴシック" w:hint="eastAsia"/>
                <w:noProof/>
                <w:color w:val="000000"/>
                <w:kern w:val="0"/>
                <w:szCs w:val="21"/>
              </w:rPr>
              <w:drawing>
                <wp:inline distT="0" distB="0" distL="0" distR="0">
                  <wp:extent cx="3467092" cy="1403530"/>
                  <wp:effectExtent l="0" t="0" r="63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0394" cy="1412963"/>
                          </a:xfrm>
                          <a:prstGeom prst="rect">
                            <a:avLst/>
                          </a:prstGeom>
                          <a:noFill/>
                          <a:ln>
                            <a:noFill/>
                          </a:ln>
                        </pic:spPr>
                      </pic:pic>
                    </a:graphicData>
                  </a:graphic>
                </wp:inline>
              </w:drawing>
            </w:r>
          </w:p>
        </w:tc>
      </w:tr>
      <w:tr w:rsidR="00F2598C" w:rsidRPr="00DB2385" w:rsidTr="00D9378D">
        <w:trPr>
          <w:trHeight w:val="534"/>
        </w:trPr>
        <w:tc>
          <w:tcPr>
            <w:tcW w:w="2028" w:type="dxa"/>
            <w:gridSpan w:val="2"/>
            <w:tcBorders>
              <w:top w:val="single" w:sz="4" w:space="0" w:color="auto"/>
              <w:left w:val="single" w:sz="4" w:space="0" w:color="auto"/>
              <w:bottom w:val="single" w:sz="4" w:space="0" w:color="auto"/>
              <w:right w:val="nil"/>
            </w:tcBorders>
            <w:shd w:val="clear" w:color="auto" w:fill="auto"/>
            <w:noWrap/>
            <w:vAlign w:val="center"/>
          </w:tcPr>
          <w:p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備　考</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711C61" w:rsidRDefault="00711C61">
            <w:pPr>
              <w:widowControl/>
              <w:spacing w:line="300" w:lineRule="exact"/>
              <w:jc w:val="center"/>
              <w:rPr>
                <w:rFonts w:ascii="ＭＳ Ｐゴシック" w:eastAsia="ＭＳ Ｐゴシック" w:hAnsi="ＭＳ Ｐゴシック" w:cs="ＭＳ Ｐゴシック"/>
                <w:kern w:val="0"/>
                <w:szCs w:val="21"/>
              </w:rPr>
            </w:pPr>
          </w:p>
          <w:p w:rsidR="00F2598C" w:rsidRPr="00DB2385" w:rsidRDefault="00F2598C" w:rsidP="00711C6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F2598C" w:rsidRPr="00DB2385" w:rsidTr="00D9378D">
        <w:trPr>
          <w:trHeight w:val="20"/>
        </w:trPr>
        <w:tc>
          <w:tcPr>
            <w:tcW w:w="10107" w:type="dxa"/>
            <w:gridSpan w:val="9"/>
            <w:tcBorders>
              <w:top w:val="nil"/>
              <w:left w:val="nil"/>
              <w:bottom w:val="nil"/>
              <w:right w:val="nil"/>
            </w:tcBorders>
            <w:shd w:val="clear" w:color="auto" w:fill="auto"/>
            <w:noWrap/>
            <w:vAlign w:val="center"/>
          </w:tcPr>
          <w:p w:rsidR="00F2598C" w:rsidRPr="00DB2385" w:rsidRDefault="00F2598C" w:rsidP="001B1ECA">
            <w:pPr>
              <w:widowControl/>
              <w:spacing w:line="2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793D66" w:rsidRPr="00DB2385" w:rsidTr="00D9378D">
        <w:trPr>
          <w:trHeight w:val="582"/>
        </w:trPr>
        <w:tc>
          <w:tcPr>
            <w:tcW w:w="20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93D66" w:rsidRPr="00DB2385" w:rsidRDefault="00793D66">
            <w:pPr>
              <w:widowControl/>
              <w:spacing w:line="300" w:lineRule="exact"/>
              <w:ind w:left="-94" w:right="-75"/>
              <w:jc w:val="center"/>
              <w:rPr>
                <w:rFonts w:ascii="ＭＳ Ｐゴシック" w:eastAsia="ＭＳ Ｐゴシック" w:hAnsi="ＭＳ Ｐゴシック" w:cs="ＭＳ Ｐゴシック"/>
                <w:kern w:val="0"/>
                <w:sz w:val="20"/>
                <w:szCs w:val="20"/>
              </w:rPr>
            </w:pPr>
            <w:r w:rsidRPr="00DB2385">
              <w:rPr>
                <w:rFonts w:ascii="ＭＳ Ｐゴシック" w:eastAsia="ＭＳ Ｐゴシック" w:hAnsi="ＭＳ Ｐゴシック" w:cs="ＭＳ Ｐゴシック" w:hint="eastAsia"/>
                <w:kern w:val="0"/>
                <w:sz w:val="20"/>
                <w:szCs w:val="20"/>
              </w:rPr>
              <w:t>保険薬局名・連絡先等</w:t>
            </w:r>
          </w:p>
        </w:tc>
        <w:tc>
          <w:tcPr>
            <w:tcW w:w="8079" w:type="dxa"/>
            <w:gridSpan w:val="7"/>
            <w:tcBorders>
              <w:top w:val="single" w:sz="4" w:space="0" w:color="auto"/>
              <w:left w:val="nil"/>
              <w:bottom w:val="single" w:sz="4" w:space="0" w:color="auto"/>
              <w:right w:val="single" w:sz="4" w:space="0" w:color="000000"/>
            </w:tcBorders>
            <w:shd w:val="clear" w:color="auto" w:fill="auto"/>
            <w:noWrap/>
            <w:vAlign w:val="center"/>
          </w:tcPr>
          <w:p w:rsidR="00793D66" w:rsidRDefault="00793D66">
            <w:pPr>
              <w:widowControl/>
              <w:spacing w:line="300" w:lineRule="exact"/>
              <w:jc w:val="center"/>
              <w:rPr>
                <w:rFonts w:ascii="ＭＳ Ｐゴシック" w:eastAsia="ＭＳ Ｐゴシック" w:hAnsi="ＭＳ Ｐゴシック" w:cs="ＭＳ Ｐゴシック"/>
                <w:kern w:val="0"/>
                <w:szCs w:val="21"/>
              </w:rPr>
            </w:pPr>
          </w:p>
          <w:p w:rsidR="00711C61" w:rsidRDefault="00711C61">
            <w:pPr>
              <w:widowControl/>
              <w:spacing w:line="300" w:lineRule="exact"/>
              <w:jc w:val="center"/>
              <w:rPr>
                <w:rFonts w:ascii="ＭＳ Ｐゴシック" w:eastAsia="ＭＳ Ｐゴシック" w:hAnsi="ＭＳ Ｐゴシック" w:cs="ＭＳ Ｐゴシック"/>
                <w:kern w:val="0"/>
                <w:szCs w:val="21"/>
              </w:rPr>
            </w:pPr>
          </w:p>
          <w:p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p>
        </w:tc>
      </w:tr>
    </w:tbl>
    <w:p w:rsidR="00F2598C" w:rsidRDefault="00F2598C" w:rsidP="00F2598C">
      <w:pPr>
        <w:jc w:val="right"/>
      </w:pPr>
      <w:r w:rsidRPr="00DB2385">
        <w:rPr>
          <w:rFonts w:ascii="ＭＳ Ｐゴシック" w:eastAsia="ＭＳ Ｐゴシック" w:hAnsi="ＭＳ Ｐゴシック" w:cs="ＭＳ Ｐゴシック" w:hint="eastAsia"/>
          <w:kern w:val="0"/>
          <w:szCs w:val="21"/>
        </w:rPr>
        <w:t xml:space="preserve">　</w:t>
      </w:r>
      <w:r w:rsidR="008F54D0" w:rsidRPr="00C8732D">
        <w:rPr>
          <w:rFonts w:ascii="ＭＳ Ｐゴシック" w:eastAsia="ＭＳ Ｐゴシック" w:hAnsi="ＭＳ Ｐゴシック" w:cs="ＭＳ Ｐゴシック" w:hint="eastAsia"/>
          <w:kern w:val="0"/>
          <w:szCs w:val="21"/>
        </w:rPr>
        <w:t>202</w:t>
      </w:r>
      <w:r w:rsidR="00816807" w:rsidRPr="00C8732D">
        <w:rPr>
          <w:rFonts w:ascii="ＭＳ Ｐゴシック" w:eastAsia="ＭＳ Ｐゴシック" w:hAnsi="ＭＳ Ｐゴシック" w:cs="ＭＳ Ｐゴシック" w:hint="eastAsia"/>
          <w:kern w:val="0"/>
          <w:szCs w:val="21"/>
        </w:rPr>
        <w:t>2</w:t>
      </w:r>
      <w:r w:rsidR="008F54D0" w:rsidRPr="00C8732D">
        <w:rPr>
          <w:rFonts w:ascii="ＭＳ Ｐゴシック" w:eastAsia="ＭＳ Ｐゴシック" w:hAnsi="ＭＳ Ｐゴシック" w:cs="ＭＳ Ｐゴシック" w:hint="eastAsia"/>
          <w:kern w:val="0"/>
          <w:szCs w:val="21"/>
        </w:rPr>
        <w:t>年4月</w:t>
      </w:r>
    </w:p>
    <w:p w:rsidR="00F2598C" w:rsidRPr="00FB0A36" w:rsidRDefault="00F2598C">
      <w:pPr>
        <w:spacing w:line="40" w:lineRule="exact"/>
      </w:pPr>
    </w:p>
    <w:sectPr w:rsidR="00F2598C" w:rsidRPr="00FB0A36" w:rsidSect="001B1ECA">
      <w:footerReference w:type="default" r:id="rId7"/>
      <w:pgSz w:w="11906" w:h="16838" w:code="9"/>
      <w:pgMar w:top="568" w:right="851" w:bottom="709"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F0" w:rsidRDefault="002D19F0">
      <w:r>
        <w:separator/>
      </w:r>
    </w:p>
  </w:endnote>
  <w:endnote w:type="continuationSeparator" w:id="0">
    <w:p w:rsidR="002D19F0" w:rsidRDefault="002D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80" w:rsidRDefault="00332680">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8732D">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C8732D">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F0" w:rsidRDefault="002D19F0">
      <w:r>
        <w:separator/>
      </w:r>
    </w:p>
  </w:footnote>
  <w:footnote w:type="continuationSeparator" w:id="0">
    <w:p w:rsidR="002D19F0" w:rsidRDefault="002D1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D1"/>
    <w:rsid w:val="00000792"/>
    <w:rsid w:val="0000787B"/>
    <w:rsid w:val="00040C29"/>
    <w:rsid w:val="0005791F"/>
    <w:rsid w:val="000C3A08"/>
    <w:rsid w:val="001010E6"/>
    <w:rsid w:val="00111A72"/>
    <w:rsid w:val="001B1ECA"/>
    <w:rsid w:val="001D7B11"/>
    <w:rsid w:val="001E2063"/>
    <w:rsid w:val="002A1796"/>
    <w:rsid w:val="002B62FF"/>
    <w:rsid w:val="002D19F0"/>
    <w:rsid w:val="00332680"/>
    <w:rsid w:val="00383BBA"/>
    <w:rsid w:val="003A50B6"/>
    <w:rsid w:val="003D478E"/>
    <w:rsid w:val="00472187"/>
    <w:rsid w:val="00561081"/>
    <w:rsid w:val="005D6A67"/>
    <w:rsid w:val="006F039B"/>
    <w:rsid w:val="00711C61"/>
    <w:rsid w:val="00772154"/>
    <w:rsid w:val="00793D66"/>
    <w:rsid w:val="00816807"/>
    <w:rsid w:val="008A07E1"/>
    <w:rsid w:val="008F54D0"/>
    <w:rsid w:val="00AF2410"/>
    <w:rsid w:val="00B221CB"/>
    <w:rsid w:val="00B66112"/>
    <w:rsid w:val="00B669A4"/>
    <w:rsid w:val="00B746BC"/>
    <w:rsid w:val="00C3586B"/>
    <w:rsid w:val="00C77E90"/>
    <w:rsid w:val="00C8732D"/>
    <w:rsid w:val="00D30FBD"/>
    <w:rsid w:val="00D432DE"/>
    <w:rsid w:val="00D9378D"/>
    <w:rsid w:val="00E44003"/>
    <w:rsid w:val="00ED47D1"/>
    <w:rsid w:val="00EF35C6"/>
    <w:rsid w:val="00F2598C"/>
    <w:rsid w:val="00F52BBB"/>
    <w:rsid w:val="00FB0A36"/>
    <w:rsid w:val="00FD35E4"/>
    <w:rsid w:val="00FF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2E63232-CF1A-45CE-9C4F-E3F5A473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601">
      <w:bodyDiv w:val="1"/>
      <w:marLeft w:val="0"/>
      <w:marRight w:val="0"/>
      <w:marTop w:val="0"/>
      <w:marBottom w:val="0"/>
      <w:divBdr>
        <w:top w:val="none" w:sz="0" w:space="0" w:color="auto"/>
        <w:left w:val="none" w:sz="0" w:space="0" w:color="auto"/>
        <w:bottom w:val="none" w:sz="0" w:space="0" w:color="auto"/>
        <w:right w:val="none" w:sz="0" w:space="0" w:color="auto"/>
      </w:divBdr>
    </w:div>
    <w:div w:id="488789068">
      <w:bodyDiv w:val="1"/>
      <w:marLeft w:val="0"/>
      <w:marRight w:val="0"/>
      <w:marTop w:val="0"/>
      <w:marBottom w:val="0"/>
      <w:divBdr>
        <w:top w:val="none" w:sz="0" w:space="0" w:color="auto"/>
        <w:left w:val="none" w:sz="0" w:space="0" w:color="auto"/>
        <w:bottom w:val="none" w:sz="0" w:space="0" w:color="auto"/>
        <w:right w:val="none" w:sz="0" w:space="0" w:color="auto"/>
      </w:divBdr>
    </w:div>
    <w:div w:id="1129008105">
      <w:bodyDiv w:val="1"/>
      <w:marLeft w:val="0"/>
      <w:marRight w:val="0"/>
      <w:marTop w:val="0"/>
      <w:marBottom w:val="0"/>
      <w:divBdr>
        <w:top w:val="none" w:sz="0" w:space="0" w:color="auto"/>
        <w:left w:val="none" w:sz="0" w:space="0" w:color="auto"/>
        <w:bottom w:val="none" w:sz="0" w:space="0" w:color="auto"/>
        <w:right w:val="none" w:sz="0" w:space="0" w:color="auto"/>
      </w:divBdr>
    </w:div>
    <w:div w:id="1365209942">
      <w:bodyDiv w:val="1"/>
      <w:marLeft w:val="0"/>
      <w:marRight w:val="0"/>
      <w:marTop w:val="0"/>
      <w:marBottom w:val="0"/>
      <w:divBdr>
        <w:top w:val="none" w:sz="0" w:space="0" w:color="auto"/>
        <w:left w:val="none" w:sz="0" w:space="0" w:color="auto"/>
        <w:bottom w:val="none" w:sz="0" w:space="0" w:color="auto"/>
        <w:right w:val="none" w:sz="0" w:space="0" w:color="auto"/>
      </w:divBdr>
    </w:div>
    <w:div w:id="1384523844">
      <w:bodyDiv w:val="1"/>
      <w:marLeft w:val="0"/>
      <w:marRight w:val="0"/>
      <w:marTop w:val="0"/>
      <w:marBottom w:val="0"/>
      <w:divBdr>
        <w:top w:val="none" w:sz="0" w:space="0" w:color="auto"/>
        <w:left w:val="none" w:sz="0" w:space="0" w:color="auto"/>
        <w:bottom w:val="none" w:sz="0" w:space="0" w:color="auto"/>
        <w:right w:val="none" w:sz="0" w:space="0" w:color="auto"/>
      </w:divBdr>
    </w:div>
    <w:div w:id="1543978628">
      <w:bodyDiv w:val="1"/>
      <w:marLeft w:val="0"/>
      <w:marRight w:val="0"/>
      <w:marTop w:val="0"/>
      <w:marBottom w:val="0"/>
      <w:divBdr>
        <w:top w:val="none" w:sz="0" w:space="0" w:color="auto"/>
        <w:left w:val="none" w:sz="0" w:space="0" w:color="auto"/>
        <w:bottom w:val="none" w:sz="0" w:space="0" w:color="auto"/>
        <w:right w:val="none" w:sz="0" w:space="0" w:color="auto"/>
      </w:divBdr>
    </w:div>
    <w:div w:id="1811315775">
      <w:bodyDiv w:val="1"/>
      <w:marLeft w:val="0"/>
      <w:marRight w:val="0"/>
      <w:marTop w:val="0"/>
      <w:marBottom w:val="0"/>
      <w:divBdr>
        <w:top w:val="none" w:sz="0" w:space="0" w:color="auto"/>
        <w:left w:val="none" w:sz="0" w:space="0" w:color="auto"/>
        <w:bottom w:val="none" w:sz="0" w:space="0" w:color="auto"/>
        <w:right w:val="none" w:sz="0" w:space="0" w:color="auto"/>
      </w:divBdr>
    </w:div>
    <w:div w:id="2004311589">
      <w:bodyDiv w:val="1"/>
      <w:marLeft w:val="0"/>
      <w:marRight w:val="0"/>
      <w:marTop w:val="0"/>
      <w:marBottom w:val="0"/>
      <w:divBdr>
        <w:top w:val="none" w:sz="0" w:space="0" w:color="auto"/>
        <w:left w:val="none" w:sz="0" w:space="0" w:color="auto"/>
        <w:bottom w:val="none" w:sz="0" w:space="0" w:color="auto"/>
        <w:right w:val="none" w:sz="0" w:space="0" w:color="auto"/>
      </w:divBdr>
    </w:div>
    <w:div w:id="2006668118">
      <w:bodyDiv w:val="1"/>
      <w:marLeft w:val="0"/>
      <w:marRight w:val="0"/>
      <w:marTop w:val="0"/>
      <w:marBottom w:val="0"/>
      <w:divBdr>
        <w:top w:val="none" w:sz="0" w:space="0" w:color="auto"/>
        <w:left w:val="none" w:sz="0" w:space="0" w:color="auto"/>
        <w:bottom w:val="none" w:sz="0" w:space="0" w:color="auto"/>
        <w:right w:val="none" w:sz="0" w:space="0" w:color="auto"/>
      </w:divBdr>
    </w:div>
    <w:div w:id="21132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『レボカバスチン点眼液0</vt:lpstr>
      <vt:lpstr>『レボカバスチン点眼液0</vt:lpstr>
    </vt:vector>
  </TitlesOfParts>
  <Company>千寿製薬株式会社</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『レボカバスチン点眼液0</dc:title>
  <dc:creator>千寿製薬株式会社</dc:creator>
  <cp:lastModifiedBy>30060100:辻広隆志S</cp:lastModifiedBy>
  <cp:revision>8</cp:revision>
  <cp:lastPrinted>2010-05-28T00:31:00Z</cp:lastPrinted>
  <dcterms:created xsi:type="dcterms:W3CDTF">2019-08-20T01:54:00Z</dcterms:created>
  <dcterms:modified xsi:type="dcterms:W3CDTF">2022-02-03T02:07:00Z</dcterms:modified>
</cp:coreProperties>
</file>