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0" w:type="dxa"/>
        <w:tblInd w:w="86" w:type="dxa"/>
        <w:tblCellMar>
          <w:left w:w="99" w:type="dxa"/>
          <w:right w:w="99" w:type="dxa"/>
        </w:tblCellMar>
        <w:tblLook w:val="0000" w:firstRow="0" w:lastRow="0" w:firstColumn="0" w:lastColumn="0" w:noHBand="0" w:noVBand="0"/>
      </w:tblPr>
      <w:tblGrid>
        <w:gridCol w:w="2560"/>
        <w:gridCol w:w="218"/>
        <w:gridCol w:w="3042"/>
        <w:gridCol w:w="300"/>
        <w:gridCol w:w="3342"/>
        <w:gridCol w:w="218"/>
      </w:tblGrid>
      <w:tr w:rsidR="006736B1" w:rsidRPr="009C7055">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bookmarkStart w:id="0" w:name="RANGE!A1:F67"/>
            <w:r w:rsidRPr="009C7055">
              <w:rPr>
                <w:rFonts w:ascii="ＭＳ Ｐゴシック" w:eastAsia="ＭＳ Ｐゴシック" w:hAnsi="ＭＳ Ｐゴシック" w:cs="ＭＳ Ｐゴシック" w:hint="eastAsia"/>
                <w:sz w:val="20"/>
              </w:rPr>
              <w:t>一般名</w:t>
            </w:r>
            <w:bookmarkEnd w:id="0"/>
          </w:p>
        </w:tc>
        <w:tc>
          <w:tcPr>
            <w:tcW w:w="7120" w:type="dxa"/>
            <w:gridSpan w:val="5"/>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デキサメタゾンメタスルホ安息香酸エステルナトリウム</w:t>
            </w: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剤　形</w:t>
            </w:r>
          </w:p>
        </w:tc>
        <w:tc>
          <w:tcPr>
            <w:tcW w:w="7120" w:type="dxa"/>
            <w:gridSpan w:val="5"/>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水性眼科耳鼻科用液剤</w:t>
            </w: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薬効分類名</w:t>
            </w:r>
          </w:p>
        </w:tc>
        <w:tc>
          <w:tcPr>
            <w:tcW w:w="7120" w:type="dxa"/>
            <w:gridSpan w:val="5"/>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抗炎症ステロイド製剤</w:t>
            </w:r>
          </w:p>
        </w:tc>
      </w:tr>
      <w:tr w:rsidR="006736B1" w:rsidRPr="009C7055">
        <w:trPr>
          <w:trHeight w:val="500"/>
        </w:trPr>
        <w:tc>
          <w:tcPr>
            <w:tcW w:w="9680" w:type="dxa"/>
            <w:gridSpan w:val="6"/>
            <w:tcBorders>
              <w:top w:val="nil"/>
              <w:left w:val="nil"/>
              <w:bottom w:val="single" w:sz="4" w:space="0" w:color="auto"/>
              <w:right w:val="nil"/>
            </w:tcBorders>
            <w:shd w:val="clear" w:color="auto" w:fill="auto"/>
            <w:noWrap/>
            <w:vAlign w:val="center"/>
          </w:tcPr>
          <w:p w:rsidR="006736B1" w:rsidRPr="009C7055" w:rsidRDefault="006736B1">
            <w:pPr>
              <w:widowControl/>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眼科用</w:t>
            </w: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 xml:space="preserve">　</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後発医薬品</w:t>
            </w:r>
          </w:p>
        </w:tc>
        <w:tc>
          <w:tcPr>
            <w:tcW w:w="3560" w:type="dxa"/>
            <w:gridSpan w:val="2"/>
            <w:tcBorders>
              <w:top w:val="single" w:sz="4" w:space="0" w:color="auto"/>
              <w:left w:val="nil"/>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先発医薬品</w:t>
            </w: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製品名</w:t>
            </w: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ビジュアリン眼科耳鼻科用液0.1％</w:t>
            </w:r>
          </w:p>
        </w:tc>
        <w:tc>
          <w:tcPr>
            <w:tcW w:w="3560" w:type="dxa"/>
            <w:gridSpan w:val="2"/>
            <w:tcBorders>
              <w:top w:val="single" w:sz="4" w:space="0" w:color="auto"/>
              <w:left w:val="nil"/>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製造販売会社名</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千寿製薬株式会社</w:t>
            </w:r>
          </w:p>
        </w:tc>
        <w:tc>
          <w:tcPr>
            <w:tcW w:w="3560" w:type="dxa"/>
            <w:gridSpan w:val="2"/>
            <w:tcBorders>
              <w:top w:val="single" w:sz="4" w:space="0" w:color="auto"/>
              <w:left w:val="nil"/>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薬　価</w:t>
            </w:r>
          </w:p>
        </w:tc>
        <w:tc>
          <w:tcPr>
            <w:tcW w:w="3560" w:type="dxa"/>
            <w:gridSpan w:val="3"/>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rsidP="00A742FB">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0.1％</w:t>
            </w:r>
            <w:r w:rsidR="003A5E1F">
              <w:rPr>
                <w:rFonts w:ascii="ＭＳ Ｐゴシック" w:eastAsia="ＭＳ Ｐゴシック" w:hAnsi="ＭＳ Ｐゴシック" w:cs="ＭＳ Ｐゴシック" w:hint="eastAsia"/>
                <w:sz w:val="20"/>
              </w:rPr>
              <w:t xml:space="preserve"> </w:t>
            </w:r>
            <w:r w:rsidRPr="009C7055">
              <w:rPr>
                <w:rFonts w:ascii="ＭＳ Ｐゴシック" w:eastAsia="ＭＳ Ｐゴシック" w:hAnsi="ＭＳ Ｐゴシック" w:cs="ＭＳ Ｐゴシック" w:hint="eastAsia"/>
                <w:sz w:val="20"/>
              </w:rPr>
              <w:t xml:space="preserve">1mL　</w:t>
            </w:r>
            <w:r w:rsidR="006E2B3A" w:rsidRPr="006E2B3A">
              <w:rPr>
                <w:rFonts w:ascii="ＭＳ Ｐゴシック" w:eastAsia="ＭＳ Ｐゴシック" w:hAnsi="ＭＳ Ｐゴシック" w:cs="ＭＳ Ｐゴシック" w:hint="eastAsia"/>
                <w:sz w:val="20"/>
              </w:rPr>
              <w:t>3</w:t>
            </w:r>
            <w:r w:rsidR="00A742FB">
              <w:rPr>
                <w:rFonts w:ascii="ＭＳ Ｐゴシック" w:eastAsia="ＭＳ Ｐゴシック" w:hAnsi="ＭＳ Ｐゴシック" w:cs="ＭＳ Ｐゴシック" w:hint="eastAsia"/>
                <w:sz w:val="20"/>
              </w:rPr>
              <w:t>5</w:t>
            </w:r>
            <w:r w:rsidR="006E2B3A" w:rsidRPr="006E2B3A">
              <w:rPr>
                <w:rFonts w:ascii="ＭＳ Ｐゴシック" w:eastAsia="ＭＳ Ｐゴシック" w:hAnsi="ＭＳ Ｐゴシック" w:cs="ＭＳ Ｐゴシック" w:hint="eastAsia"/>
                <w:sz w:val="20"/>
              </w:rPr>
              <w:t>.80円</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900"/>
        </w:trPr>
        <w:tc>
          <w:tcPr>
            <w:tcW w:w="2560" w:type="dxa"/>
            <w:tcBorders>
              <w:top w:val="single" w:sz="4" w:space="0" w:color="auto"/>
              <w:left w:val="single" w:sz="4" w:space="0" w:color="auto"/>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成分・含量（１ｍL中）</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デキサメタゾンメタスルホ安息香酸</w:t>
            </w:r>
            <w:r w:rsidRPr="009C7055">
              <w:rPr>
                <w:rFonts w:ascii="ＭＳ Ｐゴシック" w:eastAsia="ＭＳ Ｐゴシック" w:hAnsi="ＭＳ Ｐゴシック" w:cs="ＭＳ Ｐゴシック" w:hint="eastAsia"/>
                <w:sz w:val="20"/>
              </w:rPr>
              <w:br/>
              <w:t>エステルナトリウム 1.5mg</w:t>
            </w:r>
            <w:r w:rsidRPr="009C7055">
              <w:rPr>
                <w:rFonts w:ascii="ＭＳ Ｐゴシック" w:eastAsia="ＭＳ Ｐゴシック" w:hAnsi="ＭＳ Ｐゴシック" w:cs="ＭＳ Ｐゴシック" w:hint="eastAsia"/>
                <w:sz w:val="20"/>
              </w:rPr>
              <w:br/>
              <w:t>（デキサメタゾンとして 1mg）</w:t>
            </w:r>
          </w:p>
        </w:tc>
        <w:tc>
          <w:tcPr>
            <w:tcW w:w="3560" w:type="dxa"/>
            <w:gridSpan w:val="2"/>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12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添加物</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濃グリセリン、パラオキシ安息香酸プロピル、パラオキシ安息香酸メチル、クロロブタノール、酢酸ナトリウム水和物、酢酸</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sz w:val="20"/>
              </w:rPr>
            </w:pP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性状（　色　）</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無色澄明</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pH</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3.7 ～ 5.2</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6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貯　法</w:t>
            </w:r>
          </w:p>
        </w:tc>
        <w:tc>
          <w:tcPr>
            <w:tcW w:w="3560" w:type="dxa"/>
            <w:gridSpan w:val="3"/>
            <w:tcBorders>
              <w:top w:val="single" w:sz="4" w:space="0" w:color="auto"/>
              <w:left w:val="nil"/>
              <w:bottom w:val="nil"/>
              <w:right w:val="single" w:sz="4" w:space="0" w:color="auto"/>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1.室温保存</w:t>
            </w:r>
            <w:r w:rsidRPr="009C7055">
              <w:rPr>
                <w:rFonts w:ascii="ＭＳ Ｐゴシック" w:eastAsia="ＭＳ Ｐゴシック" w:hAnsi="ＭＳ Ｐゴシック" w:cs="ＭＳ Ｐゴシック" w:hint="eastAsia"/>
                <w:sz w:val="20"/>
              </w:rPr>
              <w:br/>
              <w:t>2.外箱開封後は、遮光して保存すること。</w:t>
            </w:r>
          </w:p>
        </w:tc>
        <w:tc>
          <w:tcPr>
            <w:tcW w:w="3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品質再評価</w:t>
            </w:r>
          </w:p>
        </w:tc>
        <w:tc>
          <w:tcPr>
            <w:tcW w:w="7120" w:type="dxa"/>
            <w:gridSpan w:val="5"/>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該当しない。</w:t>
            </w:r>
          </w:p>
        </w:tc>
      </w:tr>
      <w:tr w:rsidR="006736B1" w:rsidRPr="009C7055">
        <w:trPr>
          <w:trHeight w:val="403"/>
        </w:trPr>
        <w:tc>
          <w:tcPr>
            <w:tcW w:w="2560" w:type="dxa"/>
            <w:vMerge w:val="restart"/>
            <w:tcBorders>
              <w:top w:val="single" w:sz="4" w:space="0" w:color="auto"/>
              <w:left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生物学的</w:t>
            </w:r>
            <w:r w:rsidRPr="009C7055">
              <w:rPr>
                <w:rFonts w:ascii="ＭＳ Ｐゴシック" w:eastAsia="ＭＳ Ｐゴシック" w:hAnsi="ＭＳ Ｐゴシック" w:cs="ＭＳ Ｐゴシック" w:hint="eastAsia"/>
                <w:sz w:val="20"/>
              </w:rPr>
              <w:br/>
              <w:t>同等性試験</w:t>
            </w:r>
          </w:p>
        </w:tc>
        <w:tc>
          <w:tcPr>
            <w:tcW w:w="7120" w:type="dxa"/>
            <w:gridSpan w:val="5"/>
            <w:tcBorders>
              <w:top w:val="single" w:sz="4" w:space="0" w:color="auto"/>
              <w:left w:val="nil"/>
              <w:bottom w:val="nil"/>
              <w:right w:val="single" w:sz="4" w:space="0" w:color="auto"/>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color w:val="000000"/>
                <w:sz w:val="20"/>
              </w:rPr>
              <w:t>【薬効薬理】：抗炎症作用</w:t>
            </w:r>
          </w:p>
        </w:tc>
      </w:tr>
      <w:tr w:rsidR="006736B1" w:rsidRPr="009C7055">
        <w:trPr>
          <w:trHeight w:val="1560"/>
        </w:trPr>
        <w:tc>
          <w:tcPr>
            <w:tcW w:w="2560" w:type="dxa"/>
            <w:vMerge/>
            <w:tcBorders>
              <w:left w:val="single" w:sz="4" w:space="0" w:color="auto"/>
              <w:right w:val="single" w:sz="4" w:space="0" w:color="000000"/>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7120" w:type="dxa"/>
            <w:gridSpan w:val="5"/>
            <w:tcBorders>
              <w:top w:val="nil"/>
              <w:left w:val="nil"/>
              <w:right w:val="single" w:sz="4" w:space="0" w:color="auto"/>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（１）ラットのクロトン油誘発結膜炎モデル</w:t>
            </w:r>
            <w:r w:rsidRPr="009C7055">
              <w:rPr>
                <w:rFonts w:ascii="ＭＳ Ｐゴシック" w:eastAsia="ＭＳ Ｐゴシック" w:hAnsi="ＭＳ Ｐゴシック" w:cs="ＭＳ Ｐゴシック" w:hint="eastAsia"/>
                <w:sz w:val="20"/>
              </w:rPr>
              <w:br/>
              <w:t>ラットにクロトン油を点眼して結膜浮腫を誘発し、上部眼瞼重量を結膜浮腫の指標として、本剤及び標準製剤について得られた上部眼瞼重量をｔ検定にて統計解析を行った。その結果、本剤と標準製剤間に有意な差は認められず、両剤の生物学的同等性が確認された。</w:t>
            </w:r>
          </w:p>
        </w:tc>
      </w:tr>
      <w:tr w:rsidR="006736B1" w:rsidRPr="009C7055">
        <w:trPr>
          <w:trHeight w:val="403"/>
        </w:trPr>
        <w:tc>
          <w:tcPr>
            <w:tcW w:w="2560" w:type="dxa"/>
            <w:vMerge/>
            <w:tcBorders>
              <w:left w:val="single" w:sz="4" w:space="0" w:color="auto"/>
              <w:right w:val="single" w:sz="4" w:space="0" w:color="000000"/>
            </w:tcBorders>
            <w:vAlign w:val="center"/>
          </w:tcPr>
          <w:p w:rsidR="006736B1" w:rsidRPr="009C7055" w:rsidRDefault="006736B1">
            <w:pPr>
              <w:jc w:val="left"/>
              <w:rPr>
                <w:rFonts w:ascii="ＭＳ Ｐゴシック" w:eastAsia="ＭＳ Ｐゴシック" w:hAnsi="ＭＳ Ｐゴシック" w:cs="ＭＳ Ｐゴシック"/>
                <w:sz w:val="20"/>
              </w:rPr>
            </w:pPr>
          </w:p>
        </w:tc>
        <w:tc>
          <w:tcPr>
            <w:tcW w:w="218" w:type="dxa"/>
            <w:vMerge w:val="restart"/>
            <w:tcBorders>
              <w:left w:val="single" w:sz="4" w:space="0" w:color="auto"/>
              <w:right w:val="single" w:sz="4" w:space="0" w:color="auto"/>
            </w:tcBorders>
            <w:shd w:val="clear" w:color="auto" w:fill="auto"/>
            <w:vAlign w:val="center"/>
          </w:tcPr>
          <w:p w:rsidR="006736B1" w:rsidRPr="009C7055" w:rsidRDefault="006736B1">
            <w:pPr>
              <w:widowControl/>
              <w:rPr>
                <w:rFonts w:ascii="ＭＳ Ｐゴシック" w:eastAsia="ＭＳ Ｐゴシック" w:hAnsi="ＭＳ Ｐゴシック" w:cs="ＭＳ Ｐゴシック"/>
                <w:sz w:val="20"/>
              </w:rPr>
            </w:pPr>
          </w:p>
        </w:tc>
        <w:tc>
          <w:tcPr>
            <w:tcW w:w="3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6B1" w:rsidRPr="009C7055" w:rsidRDefault="006736B1">
            <w:pPr>
              <w:widowControl/>
              <w:rPr>
                <w:rFonts w:ascii="ＭＳ Ｐゴシック" w:eastAsia="ＭＳ Ｐゴシック" w:hAnsi="ＭＳ Ｐゴシック" w:cs="ＭＳ Ｐゴシック"/>
                <w:sz w:val="20"/>
              </w:rPr>
            </w:pPr>
          </w:p>
        </w:tc>
        <w:tc>
          <w:tcPr>
            <w:tcW w:w="3342" w:type="dxa"/>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上部眼瞼重量（mg）</w:t>
            </w:r>
          </w:p>
        </w:tc>
        <w:tc>
          <w:tcPr>
            <w:tcW w:w="218" w:type="dxa"/>
            <w:vMerge w:val="restart"/>
            <w:tcBorders>
              <w:top w:val="nil"/>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left w:val="single" w:sz="4" w:space="0" w:color="auto"/>
              <w:right w:val="single" w:sz="4" w:space="0" w:color="000000"/>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ビジュアリン眼科耳鼻科用液0.1％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26.87 ± 4.80</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left w:val="single" w:sz="4" w:space="0" w:color="auto"/>
              <w:right w:val="single" w:sz="4" w:space="0" w:color="000000"/>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標準製剤（点眼液、0.1％）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29.30 ± 3.97</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left w:val="single" w:sz="4" w:space="0" w:color="auto"/>
              <w:bottom w:val="single" w:sz="4" w:space="0" w:color="auto"/>
              <w:right w:val="single" w:sz="4" w:space="0" w:color="000000"/>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7120" w:type="dxa"/>
            <w:gridSpan w:val="5"/>
            <w:tcBorders>
              <w:left w:val="nil"/>
              <w:bottom w:val="single" w:sz="4" w:space="0" w:color="auto"/>
              <w:right w:val="single" w:sz="4" w:space="0" w:color="auto"/>
            </w:tcBorders>
            <w:shd w:val="clear" w:color="auto" w:fill="auto"/>
            <w:vAlign w:val="center"/>
          </w:tcPr>
          <w:p w:rsidR="006736B1" w:rsidRPr="009C7055" w:rsidRDefault="006736B1">
            <w:pPr>
              <w:widowControl/>
              <w:jc w:val="righ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（平均値±標準偏差，ｎ＝10）</w:t>
            </w:r>
          </w:p>
        </w:tc>
      </w:tr>
      <w:tr w:rsidR="006736B1" w:rsidRPr="009C7055">
        <w:trPr>
          <w:trHeight w:val="3650"/>
        </w:trPr>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736B1"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lastRenderedPageBreak/>
              <w:t>生物学的</w:t>
            </w:r>
            <w:r w:rsidRPr="009C7055">
              <w:rPr>
                <w:rFonts w:ascii="ＭＳ Ｐゴシック" w:eastAsia="ＭＳ Ｐゴシック" w:hAnsi="ＭＳ Ｐゴシック" w:cs="ＭＳ Ｐゴシック" w:hint="eastAsia"/>
                <w:sz w:val="20"/>
              </w:rPr>
              <w:br w:type="page"/>
            </w:r>
          </w:p>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同等性試験</w:t>
            </w:r>
          </w:p>
        </w:tc>
        <w:tc>
          <w:tcPr>
            <w:tcW w:w="7120" w:type="dxa"/>
            <w:gridSpan w:val="5"/>
            <w:tcBorders>
              <w:top w:val="single" w:sz="4" w:space="0" w:color="auto"/>
              <w:left w:val="single" w:sz="4" w:space="0" w:color="auto"/>
              <w:right w:val="single" w:sz="4" w:space="0" w:color="auto"/>
            </w:tcBorders>
            <w:shd w:val="clear" w:color="auto" w:fill="auto"/>
            <w:vAlign w:val="center"/>
          </w:tcPr>
          <w:p w:rsidR="006736B1" w:rsidRDefault="006736B1">
            <w:pPr>
              <w:widowControl/>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（２）ウサギの牛血清アルブミン誘発ブドウ膜炎モデル</w:t>
            </w:r>
            <w:r w:rsidRPr="009C7055">
              <w:rPr>
                <w:rFonts w:ascii="ＭＳ Ｐゴシック" w:eastAsia="ＭＳ Ｐゴシック" w:hAnsi="ＭＳ Ｐゴシック" w:cs="ＭＳ Ｐゴシック" w:hint="eastAsia"/>
                <w:sz w:val="20"/>
              </w:rPr>
              <w:br w:type="page"/>
            </w:r>
          </w:p>
          <w:p w:rsidR="006736B1" w:rsidRDefault="006736B1">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ウサギの</w:t>
            </w:r>
            <w:r w:rsidRPr="009C7055">
              <w:rPr>
                <w:rFonts w:ascii="ＭＳ Ｐゴシック" w:eastAsia="ＭＳ Ｐゴシック" w:hAnsi="ＭＳ Ｐゴシック" w:cs="ＭＳ Ｐゴシック" w:hint="eastAsia"/>
                <w:sz w:val="20"/>
              </w:rPr>
              <w:t>硝子体に牛血清アルブミンを注入し、ブドウ膜炎を誘発した。さらに炎症症状の軽快した29日目に牛血清アルブミンを耳静脈に注入しブドウ膜炎を再発させた。内・外眼部の炎症を採点基準により点数化し、スコアの合計点数をブドウ膜炎の指標とした。本剤及び標準製剤について得られた、ブドウ膜炎を誘発して15、16、17日目の合計点数の平均値（表１）、30日目の合計点数（表２）及び30日目（ブドウ膜炎再発24時間後）に採取した房水の蛋白濃度（表３）について、ｔ検定にて統計解析を行った。いずれの結果においても、本剤と標準製剤間に有意な差は認められず、両剤の生物学的同等性が確認された。</w:t>
            </w:r>
          </w:p>
          <w:p w:rsidR="006736B1" w:rsidRPr="009C7055" w:rsidRDefault="006736B1">
            <w:pPr>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（表１）</w:t>
            </w:r>
          </w:p>
        </w:tc>
      </w:tr>
      <w:tr w:rsidR="006736B1" w:rsidRPr="009C7055">
        <w:trPr>
          <w:trHeight w:val="397"/>
        </w:trPr>
        <w:tc>
          <w:tcPr>
            <w:tcW w:w="2560" w:type="dxa"/>
            <w:vMerge/>
            <w:tcBorders>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vMerge w:val="restart"/>
            <w:tcBorders>
              <w:left w:val="single" w:sz="4" w:space="0" w:color="auto"/>
              <w:right w:val="single" w:sz="4" w:space="0" w:color="auto"/>
            </w:tcBorders>
            <w:shd w:val="clear" w:color="auto" w:fill="auto"/>
            <w:vAlign w:val="center"/>
          </w:tcPr>
          <w:p w:rsidR="006736B1" w:rsidRPr="009C7055" w:rsidRDefault="006736B1">
            <w:pPr>
              <w:widowControl/>
              <w:rPr>
                <w:rFonts w:ascii="ＭＳ Ｐゴシック" w:eastAsia="ＭＳ Ｐゴシック" w:hAnsi="ＭＳ Ｐゴシック" w:cs="ＭＳ Ｐゴシック"/>
                <w:sz w:val="20"/>
              </w:rPr>
            </w:pPr>
          </w:p>
        </w:tc>
        <w:tc>
          <w:tcPr>
            <w:tcW w:w="3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6B1" w:rsidRPr="009C7055" w:rsidRDefault="006736B1">
            <w:pPr>
              <w:rPr>
                <w:rFonts w:ascii="ＭＳ Ｐゴシック" w:eastAsia="ＭＳ Ｐゴシック" w:hAnsi="ＭＳ Ｐゴシック" w:cs="ＭＳ Ｐゴシック"/>
                <w:sz w:val="20"/>
              </w:rPr>
            </w:pPr>
          </w:p>
        </w:tc>
        <w:tc>
          <w:tcPr>
            <w:tcW w:w="3342" w:type="dxa"/>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color w:val="000000"/>
                <w:sz w:val="20"/>
              </w:rPr>
              <w:t>15、16、17日目の合計点数の平均値</w:t>
            </w:r>
          </w:p>
        </w:tc>
        <w:tc>
          <w:tcPr>
            <w:tcW w:w="218" w:type="dxa"/>
            <w:vMerge w:val="restart"/>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color w:val="000000"/>
                <w:sz w:val="20"/>
              </w:rPr>
            </w:pPr>
          </w:p>
        </w:tc>
      </w:tr>
      <w:tr w:rsidR="006736B1" w:rsidRPr="009C7055">
        <w:trPr>
          <w:trHeight w:val="403"/>
        </w:trPr>
        <w:tc>
          <w:tcPr>
            <w:tcW w:w="2560" w:type="dxa"/>
            <w:vMerge/>
            <w:tcBorders>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ビジュアリン眼科耳鼻科用液0.1％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3.7 ± 2.2</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標準製剤（点眼液、0.1％）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4.9 ± 4.4</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810"/>
        </w:trPr>
        <w:tc>
          <w:tcPr>
            <w:tcW w:w="2560" w:type="dxa"/>
            <w:vMerge/>
            <w:tcBorders>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7120" w:type="dxa"/>
            <w:gridSpan w:val="5"/>
            <w:tcBorders>
              <w:top w:val="nil"/>
              <w:left w:val="single" w:sz="4" w:space="0" w:color="auto"/>
              <w:right w:val="single" w:sz="4" w:space="0" w:color="auto"/>
            </w:tcBorders>
            <w:shd w:val="clear" w:color="auto" w:fill="auto"/>
            <w:noWrap/>
            <w:vAlign w:val="center"/>
          </w:tcPr>
          <w:p w:rsidR="006736B1" w:rsidRPr="009C7055" w:rsidRDefault="006736B1">
            <w:pPr>
              <w:widowControl/>
              <w:jc w:val="right"/>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color w:val="000000"/>
                <w:sz w:val="20"/>
              </w:rPr>
              <w:t>（平均値±標準偏差，ｎ＝5）</w:t>
            </w:r>
          </w:p>
          <w:p w:rsidR="006736B1" w:rsidRPr="009C7055" w:rsidRDefault="006736B1">
            <w:pPr>
              <w:jc w:val="left"/>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sz w:val="20"/>
              </w:rPr>
              <w:t>（表２）</w:t>
            </w:r>
          </w:p>
        </w:tc>
      </w:tr>
      <w:tr w:rsidR="006736B1" w:rsidRPr="009C7055">
        <w:trPr>
          <w:trHeight w:val="403"/>
        </w:trPr>
        <w:tc>
          <w:tcPr>
            <w:tcW w:w="2560" w:type="dxa"/>
            <w:vMerge/>
            <w:tcBorders>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vMerge w:val="restart"/>
            <w:tcBorders>
              <w:left w:val="single" w:sz="4" w:space="0" w:color="auto"/>
              <w:right w:val="single" w:sz="4" w:space="0" w:color="auto"/>
            </w:tcBorders>
            <w:shd w:val="clear" w:color="auto" w:fill="auto"/>
            <w:vAlign w:val="center"/>
          </w:tcPr>
          <w:p w:rsidR="006736B1" w:rsidRPr="009C7055" w:rsidRDefault="006736B1">
            <w:pPr>
              <w:widowControl/>
              <w:rPr>
                <w:rFonts w:ascii="ＭＳ Ｐゴシック" w:eastAsia="ＭＳ Ｐゴシック" w:hAnsi="ＭＳ Ｐゴシック" w:cs="ＭＳ Ｐゴシック"/>
                <w:sz w:val="20"/>
              </w:rPr>
            </w:pPr>
          </w:p>
        </w:tc>
        <w:tc>
          <w:tcPr>
            <w:tcW w:w="3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6B1" w:rsidRPr="009C7055" w:rsidRDefault="006736B1">
            <w:pPr>
              <w:rPr>
                <w:rFonts w:ascii="ＭＳ Ｐゴシック" w:eastAsia="ＭＳ Ｐゴシック" w:hAnsi="ＭＳ Ｐゴシック" w:cs="ＭＳ Ｐゴシック"/>
                <w:sz w:val="20"/>
              </w:rPr>
            </w:pPr>
          </w:p>
        </w:tc>
        <w:tc>
          <w:tcPr>
            <w:tcW w:w="3342" w:type="dxa"/>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30日目の合計点数</w:t>
            </w:r>
          </w:p>
        </w:tc>
        <w:tc>
          <w:tcPr>
            <w:tcW w:w="218" w:type="dxa"/>
            <w:vMerge w:val="restart"/>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ビジュアリン眼科耳鼻科用液0.1％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2.2 ± 0.9</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標準製剤（点眼液、0.1％）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4.7 ± 5.3</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810"/>
        </w:trPr>
        <w:tc>
          <w:tcPr>
            <w:tcW w:w="2560" w:type="dxa"/>
            <w:vMerge/>
            <w:tcBorders>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7120" w:type="dxa"/>
            <w:gridSpan w:val="5"/>
            <w:tcBorders>
              <w:top w:val="nil"/>
              <w:left w:val="single" w:sz="4" w:space="0" w:color="auto"/>
              <w:right w:val="single" w:sz="4" w:space="0" w:color="auto"/>
            </w:tcBorders>
            <w:shd w:val="clear" w:color="auto" w:fill="auto"/>
            <w:noWrap/>
            <w:vAlign w:val="center"/>
          </w:tcPr>
          <w:p w:rsidR="006736B1" w:rsidRPr="009C7055" w:rsidRDefault="006736B1">
            <w:pPr>
              <w:widowControl/>
              <w:jc w:val="right"/>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color w:val="000000"/>
                <w:sz w:val="20"/>
              </w:rPr>
              <w:t>（平均値±標準偏差，ｎ＝5）</w:t>
            </w:r>
          </w:p>
          <w:p w:rsidR="006736B1" w:rsidRPr="009C7055" w:rsidRDefault="006736B1">
            <w:pPr>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sz w:val="20"/>
              </w:rPr>
              <w:t>（表３）</w:t>
            </w:r>
          </w:p>
        </w:tc>
      </w:tr>
      <w:tr w:rsidR="006736B1" w:rsidRPr="009C7055">
        <w:trPr>
          <w:trHeight w:val="403"/>
        </w:trPr>
        <w:tc>
          <w:tcPr>
            <w:tcW w:w="2560" w:type="dxa"/>
            <w:vMerge/>
            <w:tcBorders>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vMerge w:val="restart"/>
            <w:tcBorders>
              <w:left w:val="single" w:sz="4" w:space="0" w:color="auto"/>
              <w:right w:val="single" w:sz="4" w:space="0" w:color="auto"/>
            </w:tcBorders>
            <w:shd w:val="clear" w:color="auto" w:fill="auto"/>
            <w:vAlign w:val="center"/>
          </w:tcPr>
          <w:p w:rsidR="006736B1" w:rsidRPr="009C7055" w:rsidRDefault="006736B1">
            <w:pPr>
              <w:widowControl/>
              <w:rPr>
                <w:rFonts w:ascii="ＭＳ Ｐゴシック" w:eastAsia="ＭＳ Ｐゴシック" w:hAnsi="ＭＳ Ｐゴシック" w:cs="ＭＳ Ｐゴシック"/>
                <w:sz w:val="20"/>
              </w:rPr>
            </w:pPr>
          </w:p>
        </w:tc>
        <w:tc>
          <w:tcPr>
            <w:tcW w:w="3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6B1" w:rsidRPr="009C7055" w:rsidRDefault="006736B1">
            <w:pPr>
              <w:rPr>
                <w:rFonts w:ascii="ＭＳ Ｐゴシック" w:eastAsia="ＭＳ Ｐゴシック" w:hAnsi="ＭＳ Ｐゴシック" w:cs="ＭＳ Ｐゴシック"/>
                <w:sz w:val="20"/>
              </w:rPr>
            </w:pPr>
          </w:p>
        </w:tc>
        <w:tc>
          <w:tcPr>
            <w:tcW w:w="3342" w:type="dxa"/>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30日目の房水蛋白濃度（mg/mL）</w:t>
            </w:r>
          </w:p>
        </w:tc>
        <w:tc>
          <w:tcPr>
            <w:tcW w:w="218" w:type="dxa"/>
            <w:vMerge w:val="restart"/>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ビジュアリン眼科耳鼻科用液0.1％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1.78 ± 0.63</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left w:val="single" w:sz="4" w:space="0" w:color="auto"/>
              <w:bottom w:val="single" w:sz="4" w:space="0" w:color="auto"/>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標準製剤（点眼液、0.1％）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3.48 ± 3.81</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left w:val="single" w:sz="4" w:space="0" w:color="auto"/>
              <w:bottom w:val="single" w:sz="4" w:space="0" w:color="auto"/>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7120" w:type="dxa"/>
            <w:gridSpan w:val="5"/>
            <w:tcBorders>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right"/>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color w:val="000000"/>
                <w:sz w:val="20"/>
              </w:rPr>
              <w:t>（平均値±標準偏差，ｎ＝5）</w:t>
            </w:r>
          </w:p>
        </w:tc>
      </w:tr>
      <w:tr w:rsidR="006736B1" w:rsidRPr="009C7055">
        <w:trPr>
          <w:trHeight w:val="524"/>
        </w:trPr>
        <w:tc>
          <w:tcPr>
            <w:tcW w:w="9680" w:type="dxa"/>
            <w:gridSpan w:val="6"/>
            <w:tcBorders>
              <w:right w:val="nil"/>
            </w:tcBorders>
            <w:shd w:val="clear" w:color="auto" w:fill="auto"/>
            <w:vAlign w:val="center"/>
          </w:tcPr>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耳鼻科用</w:t>
            </w: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 xml:space="preserve">　</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後発医薬品</w:t>
            </w:r>
          </w:p>
        </w:tc>
        <w:tc>
          <w:tcPr>
            <w:tcW w:w="3560" w:type="dxa"/>
            <w:gridSpan w:val="2"/>
            <w:tcBorders>
              <w:top w:val="single" w:sz="4" w:space="0" w:color="auto"/>
              <w:left w:val="nil"/>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先発医薬品</w:t>
            </w:r>
          </w:p>
        </w:tc>
      </w:tr>
      <w:tr w:rsidR="006736B1" w:rsidRPr="009C7055">
        <w:trPr>
          <w:trHeight w:val="6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製品名</w:t>
            </w:r>
            <w:bookmarkStart w:id="1" w:name="_GoBack"/>
            <w:bookmarkEnd w:id="1"/>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ビジュアリン眼科耳鼻科用液0.1％</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製造販売会社名</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千寿製薬株式会社</w:t>
            </w:r>
          </w:p>
        </w:tc>
        <w:tc>
          <w:tcPr>
            <w:tcW w:w="3560" w:type="dxa"/>
            <w:gridSpan w:val="2"/>
            <w:tcBorders>
              <w:top w:val="single" w:sz="4" w:space="0" w:color="auto"/>
              <w:left w:val="nil"/>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薬　価</w:t>
            </w:r>
          </w:p>
        </w:tc>
        <w:tc>
          <w:tcPr>
            <w:tcW w:w="3560" w:type="dxa"/>
            <w:gridSpan w:val="3"/>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rsidP="00A742FB">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0.1％</w:t>
            </w:r>
            <w:r w:rsidR="003A5E1F">
              <w:rPr>
                <w:rFonts w:ascii="ＭＳ Ｐゴシック" w:eastAsia="ＭＳ Ｐゴシック" w:hAnsi="ＭＳ Ｐゴシック" w:cs="ＭＳ Ｐゴシック" w:hint="eastAsia"/>
                <w:sz w:val="20"/>
              </w:rPr>
              <w:t xml:space="preserve"> </w:t>
            </w:r>
            <w:r w:rsidRPr="009C7055">
              <w:rPr>
                <w:rFonts w:ascii="ＭＳ Ｐゴシック" w:eastAsia="ＭＳ Ｐゴシック" w:hAnsi="ＭＳ Ｐゴシック" w:cs="ＭＳ Ｐゴシック" w:hint="eastAsia"/>
                <w:sz w:val="20"/>
              </w:rPr>
              <w:t>1mL</w:t>
            </w:r>
            <w:r w:rsidRPr="00375650">
              <w:rPr>
                <w:rFonts w:ascii="ＭＳ Ｐゴシック" w:eastAsia="ＭＳ Ｐゴシック" w:hAnsi="ＭＳ Ｐゴシック" w:cs="ＭＳ Ｐゴシック" w:hint="eastAsia"/>
                <w:sz w:val="20"/>
              </w:rPr>
              <w:t xml:space="preserve">　</w:t>
            </w:r>
            <w:r w:rsidR="006E2B3A" w:rsidRPr="006E2B3A">
              <w:rPr>
                <w:rFonts w:ascii="ＭＳ Ｐゴシック" w:eastAsia="ＭＳ Ｐゴシック" w:hAnsi="ＭＳ Ｐゴシック" w:cs="ＭＳ Ｐゴシック" w:hint="eastAsia"/>
                <w:sz w:val="20"/>
              </w:rPr>
              <w:t>3</w:t>
            </w:r>
            <w:r w:rsidR="00A742FB">
              <w:rPr>
                <w:rFonts w:ascii="ＭＳ Ｐゴシック" w:eastAsia="ＭＳ Ｐゴシック" w:hAnsi="ＭＳ Ｐゴシック" w:cs="ＭＳ Ｐゴシック" w:hint="eastAsia"/>
                <w:sz w:val="20"/>
              </w:rPr>
              <w:t>5</w:t>
            </w:r>
            <w:r w:rsidR="006E2B3A" w:rsidRPr="006E2B3A">
              <w:rPr>
                <w:rFonts w:ascii="ＭＳ Ｐゴシック" w:eastAsia="ＭＳ Ｐゴシック" w:hAnsi="ＭＳ Ｐゴシック" w:cs="ＭＳ Ｐゴシック" w:hint="eastAsia"/>
                <w:sz w:val="20"/>
              </w:rPr>
              <w:t>.80円</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1599"/>
        </w:trPr>
        <w:tc>
          <w:tcPr>
            <w:tcW w:w="2560" w:type="dxa"/>
            <w:tcBorders>
              <w:top w:val="single" w:sz="4" w:space="0" w:color="auto"/>
              <w:left w:val="single" w:sz="4" w:space="0" w:color="auto"/>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成分・含量</w:t>
            </w:r>
            <w:r w:rsidRPr="009C7055">
              <w:rPr>
                <w:rFonts w:ascii="ＭＳ Ｐゴシック" w:eastAsia="ＭＳ Ｐゴシック" w:hAnsi="ＭＳ Ｐゴシック" w:cs="ＭＳ Ｐゴシック" w:hint="eastAsia"/>
                <w:sz w:val="20"/>
              </w:rPr>
              <w:br/>
              <w:t>（１ｍL中）</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デキサメタゾンメタスルホ安息香酸</w:t>
            </w:r>
            <w:r w:rsidRPr="009C7055">
              <w:rPr>
                <w:rFonts w:ascii="ＭＳ Ｐゴシック" w:eastAsia="ＭＳ Ｐゴシック" w:hAnsi="ＭＳ Ｐゴシック" w:cs="ＭＳ Ｐゴシック" w:hint="eastAsia"/>
                <w:sz w:val="20"/>
              </w:rPr>
              <w:br/>
              <w:t>エステルナトリウム 1.5mg</w:t>
            </w:r>
            <w:r w:rsidRPr="009C7055">
              <w:rPr>
                <w:rFonts w:ascii="ＭＳ Ｐゴシック" w:eastAsia="ＭＳ Ｐゴシック" w:hAnsi="ＭＳ Ｐゴシック" w:cs="ＭＳ Ｐゴシック" w:hint="eastAsia"/>
                <w:sz w:val="20"/>
              </w:rPr>
              <w:br/>
              <w:t>（デキサメタゾンとして 1mg）</w:t>
            </w:r>
          </w:p>
        </w:tc>
        <w:tc>
          <w:tcPr>
            <w:tcW w:w="3560" w:type="dxa"/>
            <w:gridSpan w:val="2"/>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1003"/>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添加物</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濃グリセリン、パラオキシ安息香酸プロピル、パラオキシ安息香酸メチル、クロロブタノール、酢酸ナトリウム水和物、酢酸</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sz w:val="20"/>
              </w:rPr>
            </w:pP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性状（　色　）</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無色澄明</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pH</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3.7 ～ 5.2</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6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貯　法</w:t>
            </w:r>
          </w:p>
        </w:tc>
        <w:tc>
          <w:tcPr>
            <w:tcW w:w="3560" w:type="dxa"/>
            <w:gridSpan w:val="3"/>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1.室温保存</w:t>
            </w:r>
            <w:r w:rsidRPr="009C7055">
              <w:rPr>
                <w:rFonts w:ascii="ＭＳ Ｐゴシック" w:eastAsia="ＭＳ Ｐゴシック" w:hAnsi="ＭＳ Ｐゴシック" w:cs="ＭＳ Ｐゴシック" w:hint="eastAsia"/>
                <w:sz w:val="20"/>
              </w:rPr>
              <w:br/>
              <w:t>2.外箱開封後は、遮光して保存すること。</w:t>
            </w:r>
          </w:p>
        </w:tc>
        <w:tc>
          <w:tcPr>
            <w:tcW w:w="3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品質再評価</w:t>
            </w:r>
          </w:p>
        </w:tc>
        <w:tc>
          <w:tcPr>
            <w:tcW w:w="3560" w:type="dxa"/>
            <w:gridSpan w:val="3"/>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該当しない。</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736B1"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生物学的</w:t>
            </w:r>
            <w:r w:rsidRPr="009C7055">
              <w:rPr>
                <w:rFonts w:ascii="ＭＳ Ｐゴシック" w:eastAsia="ＭＳ Ｐゴシック" w:hAnsi="ＭＳ Ｐゴシック" w:cs="ＭＳ Ｐゴシック" w:hint="eastAsia"/>
                <w:sz w:val="20"/>
              </w:rPr>
              <w:br/>
              <w:t>同等性試験</w:t>
            </w:r>
          </w:p>
          <w:p w:rsidR="006736B1" w:rsidRPr="009C7055" w:rsidRDefault="006736B1">
            <w:pPr>
              <w:widowControl/>
              <w:rPr>
                <w:rFonts w:ascii="ＭＳ Ｐゴシック" w:eastAsia="ＭＳ Ｐゴシック" w:hAnsi="ＭＳ Ｐゴシック" w:cs="ＭＳ Ｐゴシック"/>
                <w:sz w:val="20"/>
              </w:rPr>
            </w:pPr>
          </w:p>
        </w:tc>
        <w:tc>
          <w:tcPr>
            <w:tcW w:w="3260" w:type="dxa"/>
            <w:gridSpan w:val="2"/>
            <w:tcBorders>
              <w:top w:val="single" w:sz="4" w:space="0" w:color="auto"/>
              <w:left w:val="single" w:sz="4" w:space="0" w:color="auto"/>
              <w:bottom w:val="nil"/>
              <w:right w:val="nil"/>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color w:val="000000"/>
                <w:sz w:val="20"/>
              </w:rPr>
              <w:t>耳</w:t>
            </w:r>
          </w:p>
        </w:tc>
        <w:tc>
          <w:tcPr>
            <w:tcW w:w="3860" w:type="dxa"/>
            <w:gridSpan w:val="3"/>
            <w:tcBorders>
              <w:top w:val="single" w:sz="4" w:space="0" w:color="auto"/>
              <w:left w:val="nil"/>
              <w:bottom w:val="nil"/>
              <w:right w:val="single" w:sz="4" w:space="0" w:color="auto"/>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color w:val="000000"/>
                <w:sz w:val="20"/>
              </w:rPr>
              <w:t xml:space="preserve">　</w:t>
            </w:r>
          </w:p>
        </w:tc>
      </w:tr>
      <w:tr w:rsidR="006736B1" w:rsidRPr="009C7055">
        <w:trPr>
          <w:trHeight w:val="403"/>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7120" w:type="dxa"/>
            <w:gridSpan w:val="5"/>
            <w:tcBorders>
              <w:top w:val="nil"/>
              <w:left w:val="single" w:sz="4" w:space="0" w:color="auto"/>
              <w:bottom w:val="nil"/>
              <w:right w:val="single" w:sz="4" w:space="0" w:color="auto"/>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color w:val="000000"/>
                <w:sz w:val="20"/>
              </w:rPr>
              <w:t>【薬効薬理】：抗炎症作用</w:t>
            </w:r>
          </w:p>
        </w:tc>
      </w:tr>
      <w:tr w:rsidR="006736B1" w:rsidRPr="009C7055">
        <w:trPr>
          <w:trHeight w:val="1800"/>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7120" w:type="dxa"/>
            <w:gridSpan w:val="5"/>
            <w:tcBorders>
              <w:top w:val="nil"/>
              <w:left w:val="single" w:sz="4" w:space="0" w:color="auto"/>
              <w:right w:val="single" w:sz="4" w:space="0" w:color="auto"/>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モルモットの酢酸による中耳骨胞内粘膜血管透過性亢進モデル</w:t>
            </w:r>
            <w:r w:rsidRPr="009C7055">
              <w:rPr>
                <w:rFonts w:ascii="ＭＳ Ｐゴシック" w:eastAsia="ＭＳ Ｐゴシック" w:hAnsi="ＭＳ Ｐゴシック" w:cs="ＭＳ Ｐゴシック" w:hint="eastAsia"/>
                <w:sz w:val="20"/>
              </w:rPr>
              <w:br/>
              <w:t>モルモットの酢酸による中耳骨胞内粘膜血管透過性亢進モデルにおいて、漏出した色素量を中耳の炎症抑制作用の指標とし、本剤及び標準製剤について得られた色素量をt検定にて統計解析を行った。その結果、本剤と標準製剤間に有意な差は認められず、両剤の生物学的同等性が確認された。</w:t>
            </w:r>
          </w:p>
        </w:tc>
      </w:tr>
      <w:tr w:rsidR="006736B1" w:rsidRPr="009C7055">
        <w:trPr>
          <w:trHeight w:val="403"/>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tcBorders>
              <w:top w:val="nil"/>
              <w:left w:val="single" w:sz="4" w:space="0" w:color="auto"/>
              <w:right w:val="single" w:sz="4" w:space="0" w:color="auto"/>
            </w:tcBorders>
            <w:shd w:val="clear" w:color="auto" w:fill="auto"/>
            <w:vAlign w:val="center"/>
          </w:tcPr>
          <w:p w:rsidR="006736B1" w:rsidRPr="009C7055" w:rsidRDefault="006736B1">
            <w:pPr>
              <w:widowControl/>
              <w:rPr>
                <w:rFonts w:ascii="ＭＳ Ｐゴシック" w:eastAsia="ＭＳ Ｐゴシック" w:hAnsi="ＭＳ Ｐゴシック" w:cs="ＭＳ Ｐゴシック"/>
                <w:sz w:val="20"/>
              </w:rPr>
            </w:pPr>
          </w:p>
        </w:tc>
        <w:tc>
          <w:tcPr>
            <w:tcW w:w="3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6B1" w:rsidRPr="009C7055" w:rsidRDefault="006736B1">
            <w:pPr>
              <w:widowControl/>
              <w:rPr>
                <w:rFonts w:ascii="ＭＳ Ｐゴシック" w:eastAsia="ＭＳ Ｐゴシック" w:hAnsi="ＭＳ Ｐゴシック" w:cs="ＭＳ Ｐゴシック"/>
                <w:sz w:val="20"/>
              </w:rPr>
            </w:pPr>
          </w:p>
        </w:tc>
        <w:tc>
          <w:tcPr>
            <w:tcW w:w="3342" w:type="dxa"/>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漏出色素量（μg/site）</w:t>
            </w:r>
          </w:p>
        </w:tc>
        <w:tc>
          <w:tcPr>
            <w:tcW w:w="218" w:type="dxa"/>
            <w:vMerge w:val="restart"/>
            <w:tcBorders>
              <w:top w:val="nil"/>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tcBorders>
              <w:top w:val="nil"/>
              <w:left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ビジュアリン眼科耳鼻科用液0.1％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21.9 ± 3.6</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600"/>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tcBorders>
              <w:top w:val="nil"/>
              <w:left w:val="single" w:sz="4" w:space="0" w:color="auto"/>
              <w:right w:val="single" w:sz="4" w:space="0" w:color="auto"/>
            </w:tcBorders>
            <w:shd w:val="clear" w:color="auto" w:fill="auto"/>
            <w:vAlign w:val="center"/>
          </w:tcPr>
          <w:p w:rsidR="006736B1" w:rsidRDefault="006736B1">
            <w:pPr>
              <w:widowControl/>
              <w:jc w:val="center"/>
              <w:rPr>
                <w:rFonts w:ascii="ＭＳ Ｐゴシック" w:eastAsia="ＭＳ Ｐゴシック" w:hAnsi="ＭＳ Ｐゴシック" w:cs="ＭＳ Ｐゴシック"/>
                <w:sz w:val="20"/>
              </w:rPr>
            </w:pPr>
          </w:p>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標準製剤</w:t>
            </w:r>
            <w:r w:rsidRPr="009C7055">
              <w:rPr>
                <w:rFonts w:ascii="ＭＳ Ｐゴシック" w:eastAsia="ＭＳ Ｐゴシック" w:hAnsi="ＭＳ Ｐゴシック" w:cs="ＭＳ Ｐゴシック" w:hint="eastAsia"/>
                <w:sz w:val="20"/>
              </w:rPr>
              <w:br/>
              <w:t>（点眼点耳点鼻用液、0.1％）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24.1 ± 2.8</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7120" w:type="dxa"/>
            <w:gridSpan w:val="5"/>
            <w:tcBorders>
              <w:left w:val="single" w:sz="4" w:space="0" w:color="auto"/>
              <w:bottom w:val="single" w:sz="4" w:space="0" w:color="auto"/>
              <w:right w:val="single" w:sz="4" w:space="0" w:color="auto"/>
            </w:tcBorders>
            <w:shd w:val="clear" w:color="auto" w:fill="auto"/>
            <w:vAlign w:val="center"/>
          </w:tcPr>
          <w:p w:rsidR="006736B1" w:rsidRDefault="006736B1">
            <w:pPr>
              <w:widowControl/>
              <w:jc w:val="righ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（平均値±標準誤差，ｎ＝6）</w:t>
            </w:r>
          </w:p>
          <w:p w:rsidR="006736B1" w:rsidRDefault="006736B1">
            <w:pPr>
              <w:widowControl/>
              <w:jc w:val="right"/>
              <w:rPr>
                <w:rFonts w:ascii="ＭＳ Ｐゴシック" w:eastAsia="ＭＳ Ｐゴシック" w:hAnsi="ＭＳ Ｐゴシック" w:cs="ＭＳ Ｐゴシック"/>
                <w:sz w:val="20"/>
              </w:rPr>
            </w:pPr>
          </w:p>
          <w:p w:rsidR="006736B1" w:rsidRDefault="006736B1">
            <w:pPr>
              <w:widowControl/>
              <w:jc w:val="right"/>
              <w:rPr>
                <w:rFonts w:ascii="ＭＳ Ｐゴシック" w:eastAsia="ＭＳ Ｐゴシック" w:hAnsi="ＭＳ Ｐゴシック" w:cs="ＭＳ Ｐゴシック"/>
                <w:sz w:val="20"/>
              </w:rPr>
            </w:pPr>
          </w:p>
          <w:p w:rsidR="006736B1" w:rsidRPr="005D12D8" w:rsidRDefault="006736B1">
            <w:pPr>
              <w:widowControl/>
              <w:jc w:val="right"/>
              <w:rPr>
                <w:rFonts w:ascii="ＭＳ Ｐゴシック" w:eastAsia="ＭＳ Ｐゴシック" w:hAnsi="ＭＳ Ｐゴシック" w:cs="ＭＳ Ｐゴシック"/>
                <w:sz w:val="20"/>
              </w:rPr>
            </w:pPr>
          </w:p>
        </w:tc>
      </w:tr>
      <w:tr w:rsidR="006736B1" w:rsidRPr="009C7055">
        <w:trPr>
          <w:trHeight w:val="403"/>
        </w:trPr>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736B1"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生物学的</w:t>
            </w:r>
            <w:r w:rsidRPr="009C7055">
              <w:rPr>
                <w:rFonts w:ascii="ＭＳ Ｐゴシック" w:eastAsia="ＭＳ Ｐゴシック" w:hAnsi="ＭＳ Ｐゴシック" w:cs="ＭＳ Ｐゴシック" w:hint="eastAsia"/>
                <w:sz w:val="20"/>
              </w:rPr>
              <w:br w:type="page"/>
            </w:r>
          </w:p>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同等性試験</w:t>
            </w:r>
          </w:p>
        </w:tc>
        <w:tc>
          <w:tcPr>
            <w:tcW w:w="7120" w:type="dxa"/>
            <w:gridSpan w:val="5"/>
            <w:tcBorders>
              <w:top w:val="single" w:sz="4" w:space="0" w:color="auto"/>
              <w:left w:val="single" w:sz="4" w:space="0" w:color="auto"/>
              <w:bottom w:val="nil"/>
              <w:right w:val="single" w:sz="4" w:space="0" w:color="auto"/>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color w:val="000000"/>
                <w:sz w:val="20"/>
              </w:rPr>
              <w:t xml:space="preserve">鼻　</w:t>
            </w:r>
          </w:p>
        </w:tc>
      </w:tr>
      <w:tr w:rsidR="006736B1" w:rsidRPr="009C7055">
        <w:trPr>
          <w:trHeight w:val="403"/>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7120" w:type="dxa"/>
            <w:gridSpan w:val="5"/>
            <w:tcBorders>
              <w:top w:val="nil"/>
              <w:left w:val="single" w:sz="4" w:space="0" w:color="auto"/>
              <w:bottom w:val="nil"/>
              <w:right w:val="single" w:sz="4" w:space="0" w:color="auto"/>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color w:val="000000"/>
                <w:sz w:val="20"/>
              </w:rPr>
              <w:t>【薬効薬理】：抗炎症作用</w:t>
            </w:r>
          </w:p>
        </w:tc>
      </w:tr>
      <w:tr w:rsidR="006736B1" w:rsidRPr="009C7055">
        <w:trPr>
          <w:trHeight w:val="1800"/>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7120" w:type="dxa"/>
            <w:gridSpan w:val="5"/>
            <w:tcBorders>
              <w:top w:val="nil"/>
              <w:left w:val="single" w:sz="4" w:space="0" w:color="auto"/>
              <w:right w:val="single" w:sz="4" w:space="0" w:color="auto"/>
            </w:tcBorders>
            <w:shd w:val="clear" w:color="auto" w:fill="auto"/>
            <w:vAlign w:val="center"/>
          </w:tcPr>
          <w:p w:rsidR="006736B1" w:rsidRDefault="006736B1">
            <w:pPr>
              <w:widowControl/>
              <w:ind w:right="-91"/>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ラットの酢酸による鼻粘膜毛細血管透過性亢進モデル</w:t>
            </w:r>
            <w:r w:rsidRPr="009C7055">
              <w:rPr>
                <w:rFonts w:ascii="ＭＳ Ｐゴシック" w:eastAsia="ＭＳ Ｐゴシック" w:hAnsi="ＭＳ Ｐゴシック" w:cs="ＭＳ Ｐゴシック" w:hint="eastAsia"/>
                <w:sz w:val="20"/>
              </w:rPr>
              <w:br/>
              <w:t>ラットの酢酸による鼻粘膜毛細血管透過性亢進モデルにおいて、漏出した色素量を鼻粘膜の炎症抑制作用の指標とし、本剤及び標準製剤について得られた色素量を</w:t>
            </w:r>
          </w:p>
          <w:p w:rsidR="006736B1" w:rsidRPr="009C7055" w:rsidRDefault="006736B1">
            <w:pPr>
              <w:widowControl/>
              <w:ind w:right="-91"/>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t検定にて統計解析を行った。その結果、本剤と標準製剤間に有意な差は認められず、両剤の生物学的同等性が確認された。</w:t>
            </w:r>
          </w:p>
        </w:tc>
      </w:tr>
      <w:tr w:rsidR="006736B1" w:rsidRPr="009C7055">
        <w:trPr>
          <w:trHeight w:val="403"/>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tcBorders>
              <w:top w:val="nil"/>
              <w:left w:val="single" w:sz="4" w:space="0" w:color="auto"/>
              <w:right w:val="single" w:sz="4" w:space="0" w:color="auto"/>
            </w:tcBorders>
            <w:shd w:val="clear" w:color="auto" w:fill="auto"/>
            <w:vAlign w:val="center"/>
          </w:tcPr>
          <w:p w:rsidR="006736B1" w:rsidRPr="009C7055" w:rsidRDefault="006736B1">
            <w:pPr>
              <w:widowControl/>
              <w:rPr>
                <w:rFonts w:ascii="ＭＳ Ｐゴシック" w:eastAsia="ＭＳ Ｐゴシック" w:hAnsi="ＭＳ Ｐゴシック" w:cs="ＭＳ Ｐゴシック"/>
                <w:sz w:val="20"/>
              </w:rPr>
            </w:pPr>
          </w:p>
        </w:tc>
        <w:tc>
          <w:tcPr>
            <w:tcW w:w="3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6B1" w:rsidRPr="009C7055" w:rsidRDefault="006736B1">
            <w:pPr>
              <w:rPr>
                <w:rFonts w:ascii="ＭＳ Ｐゴシック" w:eastAsia="ＭＳ Ｐゴシック" w:hAnsi="ＭＳ Ｐゴシック" w:cs="ＭＳ Ｐゴシック"/>
                <w:sz w:val="20"/>
              </w:rPr>
            </w:pPr>
          </w:p>
        </w:tc>
        <w:tc>
          <w:tcPr>
            <w:tcW w:w="3342" w:type="dxa"/>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漏出色素量（μg/site）</w:t>
            </w:r>
          </w:p>
        </w:tc>
        <w:tc>
          <w:tcPr>
            <w:tcW w:w="218" w:type="dxa"/>
            <w:vMerge w:val="restart"/>
            <w:tcBorders>
              <w:top w:val="nil"/>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tcBorders>
              <w:top w:val="nil"/>
              <w:left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ビジュアリン眼科耳鼻科用液0.1％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47.4 ± 5.2</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600"/>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tcBorders>
              <w:top w:val="nil"/>
              <w:left w:val="single" w:sz="4" w:space="0" w:color="auto"/>
              <w:right w:val="single" w:sz="4" w:space="0" w:color="auto"/>
            </w:tcBorders>
            <w:shd w:val="clear" w:color="auto" w:fill="auto"/>
            <w:vAlign w:val="center"/>
          </w:tcPr>
          <w:p w:rsidR="006736B1" w:rsidRDefault="006736B1">
            <w:pPr>
              <w:widowControl/>
              <w:jc w:val="center"/>
              <w:rPr>
                <w:rFonts w:ascii="ＭＳ Ｐゴシック" w:eastAsia="ＭＳ Ｐゴシック" w:hAnsi="ＭＳ Ｐゴシック" w:cs="ＭＳ Ｐゴシック"/>
                <w:sz w:val="20"/>
              </w:rPr>
            </w:pPr>
          </w:p>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標準製剤</w:t>
            </w:r>
            <w:r w:rsidRPr="009C7055">
              <w:rPr>
                <w:rFonts w:ascii="ＭＳ Ｐゴシック" w:eastAsia="ＭＳ Ｐゴシック" w:hAnsi="ＭＳ Ｐゴシック" w:cs="ＭＳ Ｐゴシック" w:hint="eastAsia"/>
                <w:sz w:val="20"/>
              </w:rPr>
              <w:br/>
              <w:t>（点眼点耳点鼻用液、0.1％）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54.2 ± 7.1</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7120" w:type="dxa"/>
            <w:gridSpan w:val="5"/>
            <w:tcBorders>
              <w:left w:val="single" w:sz="4" w:space="0" w:color="auto"/>
              <w:right w:val="single" w:sz="4" w:space="0" w:color="auto"/>
            </w:tcBorders>
            <w:shd w:val="clear" w:color="auto" w:fill="auto"/>
            <w:vAlign w:val="center"/>
          </w:tcPr>
          <w:p w:rsidR="006736B1" w:rsidRPr="009C7055" w:rsidRDefault="006736B1">
            <w:pPr>
              <w:widowControl/>
              <w:jc w:val="righ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（平均値±標準誤差，ｎ＝5）</w:t>
            </w:r>
          </w:p>
        </w:tc>
      </w:tr>
      <w:tr w:rsidR="006736B1" w:rsidRPr="009C7055">
        <w:trPr>
          <w:trHeight w:val="200"/>
        </w:trPr>
        <w:tc>
          <w:tcPr>
            <w:tcW w:w="2560" w:type="dxa"/>
            <w:vMerge/>
            <w:tcBorders>
              <w:top w:val="single" w:sz="4" w:space="0" w:color="auto"/>
              <w:left w:val="single" w:sz="4" w:space="0" w:color="auto"/>
              <w:bottom w:val="single" w:sz="4" w:space="0" w:color="auto"/>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3260" w:type="dxa"/>
            <w:gridSpan w:val="2"/>
            <w:tcBorders>
              <w:top w:val="nil"/>
              <w:left w:val="single" w:sz="4" w:space="0" w:color="auto"/>
              <w:bottom w:val="single" w:sz="4" w:space="0" w:color="auto"/>
              <w:right w:val="nil"/>
            </w:tcBorders>
            <w:shd w:val="clear" w:color="auto" w:fill="auto"/>
          </w:tcPr>
          <w:p w:rsidR="006736B1" w:rsidRPr="009C7055" w:rsidRDefault="006736B1">
            <w:pPr>
              <w:widowControl/>
              <w:rPr>
                <w:rFonts w:ascii="ＭＳ 明朝" w:eastAsia="ＭＳ 明朝" w:hAnsi="ＭＳ 明朝" w:cs="ＭＳ Ｐゴシック"/>
                <w:sz w:val="20"/>
              </w:rPr>
            </w:pPr>
            <w:r w:rsidRPr="009C7055">
              <w:rPr>
                <w:rFonts w:ascii="ＭＳ 明朝" w:eastAsia="ＭＳ 明朝" w:hAnsi="ＭＳ 明朝" w:cs="ＭＳ Ｐゴシック" w:hint="eastAsia"/>
                <w:sz w:val="20"/>
              </w:rPr>
              <w:t xml:space="preserve">　</w:t>
            </w:r>
          </w:p>
        </w:tc>
        <w:tc>
          <w:tcPr>
            <w:tcW w:w="3860" w:type="dxa"/>
            <w:gridSpan w:val="3"/>
            <w:tcBorders>
              <w:top w:val="nil"/>
              <w:left w:val="nil"/>
              <w:bottom w:val="single" w:sz="4" w:space="0" w:color="auto"/>
              <w:right w:val="single" w:sz="4" w:space="0" w:color="auto"/>
            </w:tcBorders>
            <w:shd w:val="clear" w:color="auto" w:fill="auto"/>
          </w:tcPr>
          <w:p w:rsidR="006736B1" w:rsidRPr="009C7055" w:rsidRDefault="006736B1">
            <w:pPr>
              <w:widowControl/>
              <w:jc w:val="center"/>
              <w:rPr>
                <w:rFonts w:eastAsia="ＭＳ Ｐゴシック" w:cs="ＭＳ Ｐゴシック"/>
                <w:sz w:val="20"/>
              </w:rPr>
            </w:pPr>
            <w:r w:rsidRPr="009C7055">
              <w:rPr>
                <w:rFonts w:eastAsia="ＭＳ Ｐゴシック" w:cs="ＭＳ Ｐゴシック"/>
                <w:sz w:val="20"/>
              </w:rPr>
              <w:t xml:space="preserve">　</w:t>
            </w:r>
          </w:p>
        </w:tc>
      </w:tr>
      <w:tr w:rsidR="006736B1" w:rsidRPr="009C7055">
        <w:trPr>
          <w:trHeight w:val="1134"/>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備　考</w:t>
            </w:r>
          </w:p>
        </w:tc>
        <w:tc>
          <w:tcPr>
            <w:tcW w:w="7120" w:type="dxa"/>
            <w:gridSpan w:val="5"/>
            <w:tcBorders>
              <w:top w:val="single" w:sz="4" w:space="0" w:color="auto"/>
              <w:left w:val="nil"/>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 xml:space="preserve">　</w:t>
            </w:r>
          </w:p>
        </w:tc>
      </w:tr>
      <w:tr w:rsidR="006736B1" w:rsidRPr="009C7055">
        <w:trPr>
          <w:trHeight w:val="240"/>
        </w:trPr>
        <w:tc>
          <w:tcPr>
            <w:tcW w:w="9680" w:type="dxa"/>
            <w:gridSpan w:val="6"/>
            <w:tcBorders>
              <w:top w:val="nil"/>
              <w:left w:val="nil"/>
              <w:bottom w:val="nil"/>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 xml:space="preserve">　　</w:t>
            </w:r>
          </w:p>
        </w:tc>
      </w:tr>
      <w:tr w:rsidR="006736B1" w:rsidRPr="009C7055">
        <w:trPr>
          <w:trHeight w:val="1134"/>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保険薬局名・連絡先等</w:t>
            </w:r>
          </w:p>
        </w:tc>
        <w:tc>
          <w:tcPr>
            <w:tcW w:w="7120" w:type="dxa"/>
            <w:gridSpan w:val="5"/>
            <w:tcBorders>
              <w:top w:val="single" w:sz="4" w:space="0" w:color="auto"/>
              <w:left w:val="nil"/>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 xml:space="preserve">　</w:t>
            </w:r>
          </w:p>
        </w:tc>
      </w:tr>
    </w:tbl>
    <w:p w:rsidR="006736B1" w:rsidRDefault="006736B1">
      <w:r>
        <w:rPr>
          <w:rFonts w:hint="eastAsia"/>
        </w:rPr>
        <w:t xml:space="preserve">　</w:t>
      </w:r>
    </w:p>
    <w:p w:rsidR="006736B1" w:rsidRPr="00375650" w:rsidRDefault="006E2B3A" w:rsidP="0026407D">
      <w:pPr>
        <w:tabs>
          <w:tab w:val="left" w:pos="7380"/>
        </w:tabs>
        <w:ind w:right="-314"/>
        <w:jc w:val="right"/>
        <w:rPr>
          <w:rFonts w:ascii="ＭＳ Ｐゴシック" w:eastAsia="ＭＳ Ｐゴシック" w:hAnsi="ＭＳ Ｐゴシック"/>
          <w:sz w:val="22"/>
          <w:szCs w:val="22"/>
        </w:rPr>
      </w:pPr>
      <w:r w:rsidRPr="006E2B3A">
        <w:rPr>
          <w:rFonts w:ascii="ＭＳ Ｐゴシック" w:eastAsia="ＭＳ Ｐゴシック" w:hAnsi="ＭＳ Ｐゴシック" w:hint="eastAsia"/>
          <w:sz w:val="22"/>
          <w:szCs w:val="22"/>
        </w:rPr>
        <w:t>202</w:t>
      </w:r>
      <w:r w:rsidR="00A742FB">
        <w:rPr>
          <w:rFonts w:ascii="ＭＳ Ｐゴシック" w:eastAsia="ＭＳ Ｐゴシック" w:hAnsi="ＭＳ Ｐゴシック" w:hint="eastAsia"/>
          <w:sz w:val="22"/>
          <w:szCs w:val="22"/>
        </w:rPr>
        <w:t>1</w:t>
      </w:r>
      <w:r w:rsidRPr="006E2B3A">
        <w:rPr>
          <w:rFonts w:ascii="ＭＳ Ｐゴシック" w:eastAsia="ＭＳ Ｐゴシック" w:hAnsi="ＭＳ Ｐゴシック" w:hint="eastAsia"/>
          <w:sz w:val="22"/>
          <w:szCs w:val="22"/>
        </w:rPr>
        <w:t>年4月</w:t>
      </w:r>
    </w:p>
    <w:sectPr w:rsidR="006736B1" w:rsidRPr="00375650" w:rsidSect="0026407D">
      <w:headerReference w:type="default" r:id="rId6"/>
      <w:footerReference w:type="default" r:id="rId7"/>
      <w:pgSz w:w="11906" w:h="16838" w:code="9"/>
      <w:pgMar w:top="1418" w:right="1418" w:bottom="1134" w:left="102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4BC" w:rsidRDefault="00C654BC">
      <w:r>
        <w:separator/>
      </w:r>
    </w:p>
  </w:endnote>
  <w:endnote w:type="continuationSeparator" w:id="0">
    <w:p w:rsidR="00C654BC" w:rsidRDefault="00C6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6B1" w:rsidRDefault="006736B1">
    <w:pPr>
      <w:pStyle w:val="a4"/>
      <w:jc w:val="center"/>
    </w:pPr>
    <w:r>
      <w:rPr>
        <w:rStyle w:val="a5"/>
      </w:rPr>
      <w:fldChar w:fldCharType="begin"/>
    </w:r>
    <w:r>
      <w:rPr>
        <w:rStyle w:val="a5"/>
      </w:rPr>
      <w:instrText xml:space="preserve"> PAGE </w:instrText>
    </w:r>
    <w:r>
      <w:rPr>
        <w:rStyle w:val="a5"/>
      </w:rPr>
      <w:fldChar w:fldCharType="separate"/>
    </w:r>
    <w:r w:rsidR="003A5E1F">
      <w:rPr>
        <w:rStyle w:val="a5"/>
        <w:noProof/>
      </w:rPr>
      <w:t>4</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3A5E1F">
      <w:rPr>
        <w:rStyle w:val="a5"/>
        <w:noProof/>
      </w:rPr>
      <w:t>4</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4BC" w:rsidRDefault="00C654BC">
      <w:r>
        <w:separator/>
      </w:r>
    </w:p>
  </w:footnote>
  <w:footnote w:type="continuationSeparator" w:id="0">
    <w:p w:rsidR="00C654BC" w:rsidRDefault="00C65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6B1" w:rsidRPr="00296EB6" w:rsidRDefault="006736B1">
    <w:pPr>
      <w:pStyle w:val="a3"/>
      <w:rPr>
        <w:rFonts w:ascii="ＭＳ Ｐゴシック" w:eastAsia="ＭＳ Ｐゴシック" w:hAnsi="ＭＳ Ｐゴシック"/>
        <w:sz w:val="24"/>
        <w:szCs w:val="24"/>
      </w:rPr>
    </w:pPr>
    <w:r w:rsidRPr="00296EB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ビジュアリン眼科耳鼻科用</w:t>
    </w:r>
    <w:r w:rsidRPr="00296EB6">
      <w:rPr>
        <w:rFonts w:ascii="ＭＳ Ｐゴシック" w:eastAsia="ＭＳ Ｐゴシック" w:hAnsi="ＭＳ Ｐゴシック" w:hint="eastAsia"/>
        <w:sz w:val="24"/>
        <w:szCs w:val="24"/>
      </w:rPr>
      <w:t>液0.</w:t>
    </w:r>
    <w:r>
      <w:rPr>
        <w:rFonts w:ascii="ＭＳ Ｐゴシック" w:eastAsia="ＭＳ Ｐゴシック" w:hAnsi="ＭＳ Ｐゴシック" w:hint="eastAsia"/>
        <w:sz w:val="24"/>
        <w:szCs w:val="24"/>
      </w:rPr>
      <w:t>1％</w:t>
    </w:r>
    <w:r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88"/>
    <w:rsid w:val="00036DEF"/>
    <w:rsid w:val="001251A3"/>
    <w:rsid w:val="002468D2"/>
    <w:rsid w:val="0026407D"/>
    <w:rsid w:val="00375650"/>
    <w:rsid w:val="003A5E1F"/>
    <w:rsid w:val="004A6E0A"/>
    <w:rsid w:val="005A25A5"/>
    <w:rsid w:val="005C6799"/>
    <w:rsid w:val="006736B1"/>
    <w:rsid w:val="006E2B3A"/>
    <w:rsid w:val="0089048F"/>
    <w:rsid w:val="009B2390"/>
    <w:rsid w:val="00A742FB"/>
    <w:rsid w:val="00C51E88"/>
    <w:rsid w:val="00C654BC"/>
    <w:rsid w:val="00CF6FCA"/>
    <w:rsid w:val="00D50287"/>
    <w:rsid w:val="00E5779D"/>
    <w:rsid w:val="00F74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3DB5538"/>
  <w15:docId w15:val="{31CC9C5E-5698-4E3E-8BF9-91258DF7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75075">
      <w:bodyDiv w:val="1"/>
      <w:marLeft w:val="0"/>
      <w:marRight w:val="0"/>
      <w:marTop w:val="0"/>
      <w:marBottom w:val="0"/>
      <w:divBdr>
        <w:top w:val="none" w:sz="0" w:space="0" w:color="auto"/>
        <w:left w:val="none" w:sz="0" w:space="0" w:color="auto"/>
        <w:bottom w:val="none" w:sz="0" w:space="0" w:color="auto"/>
        <w:right w:val="none" w:sz="0" w:space="0" w:color="auto"/>
      </w:divBdr>
    </w:div>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2115637551">
      <w:bodyDiv w:val="1"/>
      <w:marLeft w:val="0"/>
      <w:marRight w:val="0"/>
      <w:marTop w:val="0"/>
      <w:marBottom w:val="0"/>
      <w:divBdr>
        <w:top w:val="none" w:sz="0" w:space="0" w:color="auto"/>
        <w:left w:val="none" w:sz="0" w:space="0" w:color="auto"/>
        <w:bottom w:val="none" w:sz="0" w:space="0" w:color="auto"/>
        <w:right w:val="none" w:sz="0" w:space="0" w:color="auto"/>
      </w:divBdr>
    </w:div>
    <w:div w:id="21463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1696</Words>
  <Characters>523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一般名</vt:lpstr>
      <vt:lpstr>一般名</vt:lpstr>
    </vt:vector>
  </TitlesOfParts>
  <Company>千寿製薬株式会社</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一般名</dc:title>
  <dc:creator>千寿製薬　カスタマーサポート室</dc:creator>
  <cp:lastModifiedBy>30190200:木田敏昭S</cp:lastModifiedBy>
  <cp:revision>6</cp:revision>
  <cp:lastPrinted>2014-04-02T08:46:00Z</cp:lastPrinted>
  <dcterms:created xsi:type="dcterms:W3CDTF">2019-08-20T01:50:00Z</dcterms:created>
  <dcterms:modified xsi:type="dcterms:W3CDTF">2021-03-09T06:46:00Z</dcterms:modified>
</cp:coreProperties>
</file>