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1" w:type="dxa"/>
        <w:tblInd w:w="94" w:type="dxa"/>
        <w:tblCellMar>
          <w:left w:w="99" w:type="dxa"/>
          <w:right w:w="99" w:type="dxa"/>
        </w:tblCellMar>
        <w:tblLook w:val="0000" w:firstRow="0" w:lastRow="0" w:firstColumn="0" w:lastColumn="0" w:noHBand="0" w:noVBand="0"/>
      </w:tblPr>
      <w:tblGrid>
        <w:gridCol w:w="2788"/>
        <w:gridCol w:w="297"/>
        <w:gridCol w:w="3236"/>
        <w:gridCol w:w="3251"/>
        <w:gridCol w:w="299"/>
      </w:tblGrid>
      <w:tr w:rsidR="007326EC" w:rsidRPr="00B64325">
        <w:trPr>
          <w:trHeight w:val="51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bookmarkStart w:id="0" w:name="RANGE!A1:F47"/>
            <w:r w:rsidRPr="00B64325">
              <w:rPr>
                <w:rFonts w:ascii="ＭＳ Ｐゴシック" w:eastAsia="ＭＳ Ｐゴシック" w:hAnsi="ＭＳ Ｐゴシック" w:cs="ＭＳ Ｐゴシック" w:hint="eastAsia"/>
                <w:sz w:val="22"/>
                <w:szCs w:val="22"/>
              </w:rPr>
              <w:t>一般名</w:t>
            </w:r>
            <w:bookmarkEnd w:id="0"/>
          </w:p>
        </w:tc>
        <w:tc>
          <w:tcPr>
            <w:tcW w:w="708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フルオロメトロン</w:t>
            </w:r>
          </w:p>
        </w:tc>
      </w:tr>
      <w:tr w:rsidR="007326EC" w:rsidRPr="00B64325">
        <w:trPr>
          <w:trHeight w:val="51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剤</w:t>
            </w:r>
            <w:r>
              <w:rPr>
                <w:rFonts w:ascii="ＭＳ Ｐゴシック" w:eastAsia="ＭＳ Ｐゴシック" w:hAnsi="ＭＳ Ｐゴシック" w:cs="ＭＳ Ｐゴシック" w:hint="eastAsia"/>
                <w:sz w:val="22"/>
                <w:szCs w:val="22"/>
              </w:rPr>
              <w:t xml:space="preserve">　</w:t>
            </w:r>
            <w:r w:rsidRPr="00B64325">
              <w:rPr>
                <w:rFonts w:ascii="ＭＳ Ｐゴシック" w:eastAsia="ＭＳ Ｐゴシック" w:hAnsi="ＭＳ Ｐゴシック" w:cs="ＭＳ Ｐゴシック" w:hint="eastAsia"/>
                <w:sz w:val="22"/>
                <w:szCs w:val="22"/>
              </w:rPr>
              <w:t>形</w:t>
            </w:r>
          </w:p>
        </w:tc>
        <w:tc>
          <w:tcPr>
            <w:tcW w:w="708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水性懸濁点眼剤</w:t>
            </w:r>
          </w:p>
        </w:tc>
      </w:tr>
      <w:tr w:rsidR="007326EC" w:rsidRPr="00B64325">
        <w:trPr>
          <w:trHeight w:val="51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薬効分類名</w:t>
            </w:r>
          </w:p>
        </w:tc>
        <w:tc>
          <w:tcPr>
            <w:tcW w:w="708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抗炎症ステロイド点眼剤</w:t>
            </w:r>
          </w:p>
        </w:tc>
      </w:tr>
      <w:tr w:rsidR="007326EC" w:rsidRPr="00B64325">
        <w:trPr>
          <w:trHeight w:val="51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成分・含量（1mL中）</w:t>
            </w:r>
          </w:p>
        </w:tc>
        <w:tc>
          <w:tcPr>
            <w:tcW w:w="708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1mL中に　フルオロメトロン0.5mg</w:t>
            </w:r>
          </w:p>
        </w:tc>
      </w:tr>
      <w:tr w:rsidR="007326EC" w:rsidRPr="00B64325">
        <w:trPr>
          <w:trHeight w:val="510"/>
        </w:trPr>
        <w:tc>
          <w:tcPr>
            <w:tcW w:w="9871" w:type="dxa"/>
            <w:gridSpan w:val="5"/>
            <w:tcBorders>
              <w:top w:val="nil"/>
              <w:left w:val="nil"/>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trPr>
          <w:trHeight w:val="405"/>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533"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後発医薬品</w:t>
            </w:r>
          </w:p>
        </w:tc>
        <w:tc>
          <w:tcPr>
            <w:tcW w:w="3550" w:type="dxa"/>
            <w:gridSpan w:val="2"/>
            <w:tcBorders>
              <w:top w:val="single" w:sz="4" w:space="0" w:color="auto"/>
              <w:left w:val="nil"/>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先発医薬品</w:t>
            </w:r>
          </w:p>
        </w:tc>
      </w:tr>
      <w:tr w:rsidR="007326EC" w:rsidRPr="00B64325">
        <w:trPr>
          <w:trHeight w:val="6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製品名</w:t>
            </w:r>
          </w:p>
        </w:tc>
        <w:tc>
          <w:tcPr>
            <w:tcW w:w="3533"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オドメール点眼液0.05％</w:t>
            </w:r>
          </w:p>
        </w:tc>
        <w:tc>
          <w:tcPr>
            <w:tcW w:w="3550" w:type="dxa"/>
            <w:gridSpan w:val="2"/>
            <w:tcBorders>
              <w:top w:val="single" w:sz="4" w:space="0" w:color="auto"/>
              <w:left w:val="nil"/>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trPr>
          <w:trHeight w:val="72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製造販売会社名</w:t>
            </w:r>
          </w:p>
        </w:tc>
        <w:tc>
          <w:tcPr>
            <w:tcW w:w="3533"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千寿製薬株式会社</w:t>
            </w:r>
          </w:p>
        </w:tc>
        <w:tc>
          <w:tcPr>
            <w:tcW w:w="3550" w:type="dxa"/>
            <w:gridSpan w:val="2"/>
            <w:tcBorders>
              <w:top w:val="single" w:sz="4" w:space="0" w:color="auto"/>
              <w:left w:val="nil"/>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trPr>
          <w:trHeight w:val="6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薬価</w:t>
            </w:r>
          </w:p>
        </w:tc>
        <w:tc>
          <w:tcPr>
            <w:tcW w:w="3533"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rsidP="00BD70AA">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0.05％</w:t>
            </w:r>
            <w:r w:rsidR="00C83DDF">
              <w:rPr>
                <w:rFonts w:ascii="ＭＳ Ｐゴシック" w:eastAsia="ＭＳ Ｐゴシック" w:hAnsi="ＭＳ Ｐゴシック" w:cs="ＭＳ Ｐゴシック" w:hint="eastAsia"/>
                <w:sz w:val="22"/>
                <w:szCs w:val="22"/>
              </w:rPr>
              <w:t xml:space="preserve"> </w:t>
            </w:r>
            <w:r w:rsidRPr="00B64325">
              <w:rPr>
                <w:rFonts w:ascii="ＭＳ Ｐゴシック" w:eastAsia="ＭＳ Ｐゴシック" w:hAnsi="ＭＳ Ｐゴシック" w:cs="ＭＳ Ｐゴシック" w:hint="eastAsia"/>
                <w:sz w:val="22"/>
                <w:szCs w:val="22"/>
              </w:rPr>
              <w:t xml:space="preserve">1mL　</w:t>
            </w:r>
            <w:r w:rsidR="00E26A12" w:rsidRPr="00E26A12">
              <w:rPr>
                <w:rFonts w:ascii="ＭＳ Ｐゴシック" w:eastAsia="ＭＳ Ｐゴシック" w:hAnsi="ＭＳ Ｐゴシック" w:cs="ＭＳ Ｐゴシック" w:hint="eastAsia"/>
                <w:sz w:val="22"/>
                <w:szCs w:val="22"/>
              </w:rPr>
              <w:t>1</w:t>
            </w:r>
            <w:r w:rsidR="00BD70AA">
              <w:rPr>
                <w:rFonts w:ascii="ＭＳ Ｐゴシック" w:eastAsia="ＭＳ Ｐゴシック" w:hAnsi="ＭＳ Ｐゴシック" w:cs="ＭＳ Ｐゴシック" w:hint="eastAsia"/>
                <w:sz w:val="22"/>
                <w:szCs w:val="22"/>
              </w:rPr>
              <w:t>7</w:t>
            </w:r>
            <w:r w:rsidR="00E26A12" w:rsidRPr="00E26A12">
              <w:rPr>
                <w:rFonts w:ascii="ＭＳ Ｐゴシック" w:eastAsia="ＭＳ Ｐゴシック" w:hAnsi="ＭＳ Ｐゴシック" w:cs="ＭＳ Ｐゴシック" w:hint="eastAsia"/>
                <w:sz w:val="22"/>
                <w:szCs w:val="22"/>
              </w:rPr>
              <w:t>.</w:t>
            </w:r>
            <w:r w:rsidR="00BD70AA">
              <w:rPr>
                <w:rFonts w:ascii="ＭＳ Ｐゴシック" w:eastAsia="ＭＳ Ｐゴシック" w:hAnsi="ＭＳ Ｐゴシック" w:cs="ＭＳ Ｐゴシック" w:hint="eastAsia"/>
                <w:sz w:val="22"/>
                <w:szCs w:val="22"/>
              </w:rPr>
              <w:t>9</w:t>
            </w:r>
            <w:r w:rsidR="00E26A12" w:rsidRPr="00E26A12">
              <w:rPr>
                <w:rFonts w:ascii="ＭＳ Ｐゴシック" w:eastAsia="ＭＳ Ｐゴシック" w:hAnsi="ＭＳ Ｐゴシック" w:cs="ＭＳ Ｐゴシック" w:hint="eastAsia"/>
                <w:sz w:val="22"/>
                <w:szCs w:val="22"/>
              </w:rPr>
              <w:t>0円</w:t>
            </w:r>
          </w:p>
        </w:tc>
        <w:tc>
          <w:tcPr>
            <w:tcW w:w="3550"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trPr>
          <w:trHeight w:val="153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添加物</w:t>
            </w:r>
          </w:p>
        </w:tc>
        <w:tc>
          <w:tcPr>
            <w:tcW w:w="3533"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メチルセルロース、ベンザルコニウム塩化物、リ</w:t>
            </w:r>
            <w:bookmarkStart w:id="1" w:name="_GoBack"/>
            <w:bookmarkEnd w:id="1"/>
            <w:r w:rsidRPr="00B64325">
              <w:rPr>
                <w:rFonts w:ascii="ＭＳ Ｐゴシック" w:eastAsia="ＭＳ Ｐゴシック" w:hAnsi="ＭＳ Ｐゴシック" w:cs="ＭＳ Ｐゴシック" w:hint="eastAsia"/>
                <w:sz w:val="22"/>
                <w:szCs w:val="22"/>
              </w:rPr>
              <w:t>ン酸水素ナトリウム水和物、塩化ナトリウム、塩酸</w:t>
            </w:r>
          </w:p>
        </w:tc>
        <w:tc>
          <w:tcPr>
            <w:tcW w:w="3550"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r>
      <w:tr w:rsidR="007326EC" w:rsidRPr="00B64325">
        <w:trPr>
          <w:trHeight w:val="510"/>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性状（色）</w:t>
            </w:r>
          </w:p>
        </w:tc>
        <w:tc>
          <w:tcPr>
            <w:tcW w:w="3533"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振り混ぜる時白濁</w:t>
            </w:r>
          </w:p>
        </w:tc>
        <w:tc>
          <w:tcPr>
            <w:tcW w:w="3550"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trPr>
          <w:trHeight w:val="510"/>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pH</w:t>
            </w:r>
          </w:p>
        </w:tc>
        <w:tc>
          <w:tcPr>
            <w:tcW w:w="3533"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6.5～7.5</w:t>
            </w:r>
          </w:p>
        </w:tc>
        <w:tc>
          <w:tcPr>
            <w:tcW w:w="3550"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trPr>
          <w:trHeight w:val="6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貯法</w:t>
            </w:r>
          </w:p>
        </w:tc>
        <w:tc>
          <w:tcPr>
            <w:tcW w:w="3533"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室温</w:t>
            </w:r>
          </w:p>
        </w:tc>
        <w:tc>
          <w:tcPr>
            <w:tcW w:w="3550"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trPr>
          <w:trHeight w:val="600"/>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品質再評価</w:t>
            </w:r>
          </w:p>
        </w:tc>
        <w:tc>
          <w:tcPr>
            <w:tcW w:w="708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該当しない</w:t>
            </w:r>
          </w:p>
        </w:tc>
      </w:tr>
      <w:tr w:rsidR="007326EC" w:rsidRPr="00B64325">
        <w:trPr>
          <w:trHeight w:val="420"/>
        </w:trPr>
        <w:tc>
          <w:tcPr>
            <w:tcW w:w="27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326EC"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生物学的</w:t>
            </w:r>
          </w:p>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同等性試験</w:t>
            </w:r>
          </w:p>
        </w:tc>
        <w:tc>
          <w:tcPr>
            <w:tcW w:w="7083" w:type="dxa"/>
            <w:gridSpan w:val="4"/>
            <w:tcBorders>
              <w:top w:val="single" w:sz="4" w:space="0" w:color="auto"/>
              <w:left w:val="single" w:sz="4" w:space="0" w:color="auto"/>
              <w:bottom w:val="nil"/>
              <w:right w:val="single" w:sz="4" w:space="0" w:color="000000"/>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【薬効薬理】：抗炎症作用</w:t>
            </w:r>
          </w:p>
        </w:tc>
      </w:tr>
      <w:tr w:rsidR="007326EC" w:rsidRPr="00B64325">
        <w:trPr>
          <w:trHeight w:val="1500"/>
        </w:trPr>
        <w:tc>
          <w:tcPr>
            <w:tcW w:w="2788" w:type="dxa"/>
            <w:vMerge/>
            <w:tcBorders>
              <w:top w:val="single" w:sz="4" w:space="0" w:color="auto"/>
              <w:left w:val="single" w:sz="4" w:space="0" w:color="auto"/>
              <w:bottom w:val="single" w:sz="4" w:space="0" w:color="000000"/>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6786" w:type="dxa"/>
            <w:gridSpan w:val="3"/>
            <w:tcBorders>
              <w:top w:val="nil"/>
              <w:left w:val="nil"/>
              <w:bottom w:val="nil"/>
              <w:right w:val="single" w:sz="4" w:space="0" w:color="000000"/>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（１）ラットのクロトン油誘発結膜炎モデル</w:t>
            </w:r>
            <w:r w:rsidRPr="00B64325">
              <w:rPr>
                <w:rFonts w:ascii="ＭＳ Ｐゴシック" w:eastAsia="ＭＳ Ｐゴシック" w:hAnsi="ＭＳ Ｐゴシック" w:cs="ＭＳ Ｐゴシック" w:hint="eastAsia"/>
                <w:color w:val="000000"/>
                <w:sz w:val="22"/>
                <w:szCs w:val="22"/>
              </w:rPr>
              <w:br/>
              <w:t>ラットにクロトン油を点眼して結膜浮腫を誘発し、上部眼瞼重量を結膜浮腫の指標として、本剤及び標準製剤について得られた上部眼瞼重量をｔ検定にて統計解析を行った。その結果、本剤と標準製剤間に有意な差は認められず、両剤の生物学的同等性が確認された。</w:t>
            </w:r>
          </w:p>
        </w:tc>
      </w:tr>
      <w:tr w:rsidR="007326EC" w:rsidRPr="00B64325">
        <w:trPr>
          <w:trHeight w:val="390"/>
        </w:trPr>
        <w:tc>
          <w:tcPr>
            <w:tcW w:w="2788" w:type="dxa"/>
            <w:vMerge/>
            <w:tcBorders>
              <w:top w:val="single" w:sz="4" w:space="0" w:color="auto"/>
              <w:left w:val="single" w:sz="4" w:space="0" w:color="auto"/>
              <w:bottom w:val="single" w:sz="4" w:space="0" w:color="000000"/>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51"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上部眼瞼重量（mg）</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top w:val="single" w:sz="4" w:space="0" w:color="auto"/>
              <w:left w:val="single" w:sz="4" w:space="0" w:color="auto"/>
              <w:bottom w:val="single" w:sz="4" w:space="0" w:color="000000"/>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オドメール点眼液0.05％</w:t>
            </w:r>
          </w:p>
        </w:tc>
        <w:tc>
          <w:tcPr>
            <w:tcW w:w="3251"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35.34 ± 3.54</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top w:val="single" w:sz="4" w:space="0" w:color="auto"/>
              <w:left w:val="single" w:sz="4" w:space="0" w:color="auto"/>
              <w:bottom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51"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37.82 ± 3.87</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top w:val="single" w:sz="4" w:space="0" w:color="auto"/>
              <w:left w:val="single" w:sz="4" w:space="0" w:color="auto"/>
              <w:bottom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single" w:sz="4" w:space="0" w:color="auto"/>
              <w:right w:val="nil"/>
            </w:tcBorders>
            <w:shd w:val="clear" w:color="auto" w:fill="auto"/>
            <w:noWrap/>
            <w:vAlign w:val="center"/>
          </w:tcPr>
          <w:p w:rsidR="007326EC" w:rsidRPr="00B64325" w:rsidRDefault="007326EC">
            <w:pPr>
              <w:widowControl/>
              <w:jc w:val="righ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6487" w:type="dxa"/>
            <w:gridSpan w:val="2"/>
            <w:tcBorders>
              <w:top w:val="nil"/>
              <w:left w:val="nil"/>
              <w:bottom w:val="single" w:sz="4" w:space="0" w:color="auto"/>
              <w:right w:val="nil"/>
            </w:tcBorders>
            <w:shd w:val="clear" w:color="auto" w:fill="auto"/>
            <w:noWrap/>
            <w:vAlign w:val="center"/>
          </w:tcPr>
          <w:p w:rsidR="007326EC" w:rsidRPr="00B64325" w:rsidRDefault="007326EC">
            <w:pPr>
              <w:widowControl/>
              <w:jc w:val="righ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（平均値±標準偏差，ｎ＝10）</w:t>
            </w:r>
          </w:p>
        </w:tc>
        <w:tc>
          <w:tcPr>
            <w:tcW w:w="299" w:type="dxa"/>
            <w:tcBorders>
              <w:top w:val="nil"/>
              <w:left w:val="nil"/>
              <w:bottom w:val="single" w:sz="4" w:space="0" w:color="auto"/>
              <w:right w:val="single" w:sz="4" w:space="0" w:color="auto"/>
            </w:tcBorders>
            <w:shd w:val="clear" w:color="auto" w:fill="auto"/>
            <w:noWrap/>
            <w:vAlign w:val="center"/>
          </w:tcPr>
          <w:p w:rsidR="007326EC" w:rsidRPr="00B64325" w:rsidRDefault="007326EC">
            <w:pPr>
              <w:widowControl/>
              <w:jc w:val="righ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2940"/>
        </w:trPr>
        <w:tc>
          <w:tcPr>
            <w:tcW w:w="2788" w:type="dxa"/>
            <w:vMerge w:val="restart"/>
            <w:tcBorders>
              <w:top w:val="single" w:sz="4" w:space="0" w:color="auto"/>
              <w:left w:val="single" w:sz="4" w:space="0" w:color="auto"/>
              <w:right w:val="single" w:sz="4" w:space="0" w:color="auto"/>
            </w:tcBorders>
            <w:vAlign w:val="center"/>
          </w:tcPr>
          <w:p w:rsidR="007326EC" w:rsidRDefault="007326EC">
            <w:pPr>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lastRenderedPageBreak/>
              <w:t>生物学的</w:t>
            </w:r>
          </w:p>
          <w:p w:rsidR="007326EC" w:rsidRPr="00B64325" w:rsidRDefault="007326EC">
            <w:pPr>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同等性試験</w:t>
            </w:r>
          </w:p>
        </w:tc>
        <w:tc>
          <w:tcPr>
            <w:tcW w:w="297" w:type="dxa"/>
            <w:vMerge w:val="restart"/>
            <w:tcBorders>
              <w:top w:val="single" w:sz="4" w:space="0" w:color="auto"/>
              <w:left w:val="single" w:sz="4" w:space="0" w:color="auto"/>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p w:rsidR="007326EC" w:rsidRPr="00B64325" w:rsidRDefault="007326EC">
            <w:pPr>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6786" w:type="dxa"/>
            <w:gridSpan w:val="3"/>
            <w:tcBorders>
              <w:top w:val="single" w:sz="4" w:space="0" w:color="auto"/>
              <w:left w:val="nil"/>
              <w:right w:val="single" w:sz="4" w:space="0" w:color="000000"/>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（２）ウサギの牛血清アルブミン誘発ブドウ膜炎モデル</w:t>
            </w:r>
            <w:r w:rsidRPr="00B64325">
              <w:rPr>
                <w:rFonts w:ascii="ＭＳ Ｐゴシック" w:eastAsia="ＭＳ Ｐゴシック" w:hAnsi="ＭＳ Ｐゴシック" w:cs="ＭＳ Ｐゴシック" w:hint="eastAsia"/>
                <w:color w:val="000000"/>
                <w:szCs w:val="21"/>
              </w:rPr>
              <w:b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標準製剤について得られた、ブドウ膜炎を誘発して７日目から28日目までの合計点数の最高値（表１）、合計点数－時間（日）曲線下面積（表２）及び30日目の合計点数（表３）をｔ検定にて統計解析を行った。また、30日目（ブドウ膜炎再発24時間後）に採取した房水の蛋白濃度（表４）について、ｔ検定にて統計解析を行った。いずれの結果においても、本剤と標準製剤間に有意な差は認められず、両剤の生物学的同等性が確認された。</w:t>
            </w:r>
          </w:p>
        </w:tc>
      </w:tr>
      <w:tr w:rsidR="007326EC" w:rsidRPr="00B64325">
        <w:trPr>
          <w:trHeight w:val="390"/>
        </w:trPr>
        <w:tc>
          <w:tcPr>
            <w:tcW w:w="2788" w:type="dxa"/>
            <w:vMerge/>
            <w:tcBorders>
              <w:left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c>
          <w:tcPr>
            <w:tcW w:w="297" w:type="dxa"/>
            <w:vMerge/>
            <w:tcBorders>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c>
          <w:tcPr>
            <w:tcW w:w="3236" w:type="dxa"/>
            <w:tcBorders>
              <w:left w:val="nil"/>
              <w:bottom w:val="nil"/>
              <w:right w:val="nil"/>
            </w:tcBorders>
            <w:shd w:val="clear" w:color="auto" w:fill="auto"/>
            <w:noWrap/>
            <w:vAlign w:val="center"/>
          </w:tcPr>
          <w:p w:rsidR="007326EC" w:rsidRPr="00B64325" w:rsidRDefault="007326EC">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（表１）</w:t>
            </w:r>
          </w:p>
        </w:tc>
        <w:tc>
          <w:tcPr>
            <w:tcW w:w="3251" w:type="dxa"/>
            <w:tcBorders>
              <w:left w:val="nil"/>
              <w:bottom w:val="nil"/>
              <w:right w:val="nil"/>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299" w:type="dxa"/>
            <w:tcBorders>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51"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18"/>
                <w:szCs w:val="18"/>
              </w:rPr>
            </w:pPr>
            <w:r w:rsidRPr="00B64325">
              <w:rPr>
                <w:rFonts w:ascii="ＭＳ Ｐゴシック" w:eastAsia="ＭＳ Ｐゴシック" w:hAnsi="ＭＳ Ｐゴシック" w:cs="ＭＳ Ｐゴシック" w:hint="eastAsia"/>
                <w:sz w:val="18"/>
                <w:szCs w:val="18"/>
              </w:rPr>
              <w:t>7日～28日目までの合計点数の最高値</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オドメール点眼液0.05％</w:t>
            </w:r>
          </w:p>
        </w:tc>
        <w:tc>
          <w:tcPr>
            <w:tcW w:w="3251"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9.8 ± 0.6</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51"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10.5 ± 1.5</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6487" w:type="dxa"/>
            <w:gridSpan w:val="2"/>
            <w:tcBorders>
              <w:top w:val="nil"/>
              <w:left w:val="nil"/>
              <w:bottom w:val="nil"/>
              <w:right w:val="nil"/>
            </w:tcBorders>
            <w:shd w:val="clear" w:color="auto" w:fill="auto"/>
            <w:vAlign w:val="center"/>
          </w:tcPr>
          <w:p w:rsidR="007326EC" w:rsidRPr="00B64325" w:rsidRDefault="007326EC">
            <w:pPr>
              <w:widowControl/>
              <w:jc w:val="righ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（平均値±標準偏差，ｎ＝5）</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nil"/>
              <w:bottom w:val="nil"/>
              <w:right w:val="nil"/>
            </w:tcBorders>
            <w:shd w:val="clear" w:color="auto" w:fill="auto"/>
            <w:noWrap/>
            <w:vAlign w:val="center"/>
          </w:tcPr>
          <w:p w:rsidR="007326EC" w:rsidRPr="00B64325" w:rsidRDefault="007326EC">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（表２）</w:t>
            </w:r>
          </w:p>
        </w:tc>
        <w:tc>
          <w:tcPr>
            <w:tcW w:w="3251" w:type="dxa"/>
            <w:tcBorders>
              <w:top w:val="nil"/>
              <w:left w:val="nil"/>
              <w:bottom w:val="nil"/>
              <w:right w:val="nil"/>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78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51"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7日～28日目までの</w:t>
            </w:r>
            <w:r w:rsidRPr="00B64325">
              <w:rPr>
                <w:rFonts w:ascii="ＭＳ Ｐゴシック" w:eastAsia="ＭＳ Ｐゴシック" w:hAnsi="ＭＳ Ｐゴシック" w:cs="ＭＳ Ｐゴシック" w:hint="eastAsia"/>
                <w:szCs w:val="21"/>
              </w:rPr>
              <w:br/>
              <w:t>合計点数－時間（日）曲線下面積</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オドメール点眼液0.05％</w:t>
            </w:r>
          </w:p>
        </w:tc>
        <w:tc>
          <w:tcPr>
            <w:tcW w:w="3251"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131.1 ± 7.07</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51"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136.1 ± 21.49</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6487" w:type="dxa"/>
            <w:gridSpan w:val="2"/>
            <w:tcBorders>
              <w:top w:val="nil"/>
              <w:left w:val="nil"/>
              <w:bottom w:val="nil"/>
              <w:right w:val="nil"/>
            </w:tcBorders>
            <w:shd w:val="clear" w:color="auto" w:fill="auto"/>
            <w:vAlign w:val="center"/>
          </w:tcPr>
          <w:p w:rsidR="007326EC" w:rsidRPr="00B64325" w:rsidRDefault="007326EC">
            <w:pPr>
              <w:widowControl/>
              <w:jc w:val="righ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（平均値±標準偏差，ｎ＝5）</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nil"/>
              <w:bottom w:val="nil"/>
              <w:right w:val="nil"/>
            </w:tcBorders>
            <w:shd w:val="clear" w:color="auto" w:fill="auto"/>
            <w:noWrap/>
            <w:vAlign w:val="center"/>
          </w:tcPr>
          <w:p w:rsidR="007326EC" w:rsidRPr="00B64325" w:rsidRDefault="007326EC">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（表３）</w:t>
            </w:r>
          </w:p>
        </w:tc>
        <w:tc>
          <w:tcPr>
            <w:tcW w:w="3251" w:type="dxa"/>
            <w:tcBorders>
              <w:top w:val="nil"/>
              <w:left w:val="nil"/>
              <w:bottom w:val="nil"/>
              <w:right w:val="nil"/>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51"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30日目の合計点数</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オドメール点眼液0.05％</w:t>
            </w:r>
          </w:p>
        </w:tc>
        <w:tc>
          <w:tcPr>
            <w:tcW w:w="3251"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8.6 ± 1.0</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51"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9.4 ± 1.5</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6487" w:type="dxa"/>
            <w:gridSpan w:val="2"/>
            <w:tcBorders>
              <w:top w:val="nil"/>
              <w:left w:val="nil"/>
              <w:bottom w:val="nil"/>
              <w:right w:val="nil"/>
            </w:tcBorders>
            <w:shd w:val="clear" w:color="auto" w:fill="auto"/>
            <w:vAlign w:val="center"/>
          </w:tcPr>
          <w:p w:rsidR="007326EC" w:rsidRPr="00B64325" w:rsidRDefault="007326EC">
            <w:pPr>
              <w:widowControl/>
              <w:jc w:val="righ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（平均値±標準偏差，ｎ＝5）</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nil"/>
              <w:bottom w:val="nil"/>
              <w:right w:val="nil"/>
            </w:tcBorders>
            <w:shd w:val="clear" w:color="auto" w:fill="auto"/>
            <w:noWrap/>
            <w:vAlign w:val="center"/>
          </w:tcPr>
          <w:p w:rsidR="007326EC" w:rsidRPr="00B64325" w:rsidRDefault="007326EC">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（表４）</w:t>
            </w:r>
          </w:p>
        </w:tc>
        <w:tc>
          <w:tcPr>
            <w:tcW w:w="3251" w:type="dxa"/>
            <w:tcBorders>
              <w:top w:val="nil"/>
              <w:left w:val="nil"/>
              <w:bottom w:val="nil"/>
              <w:right w:val="nil"/>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51"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30日目の房水蛋白濃度（mg/mL）</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オドメール点眼液0.05％</w:t>
            </w:r>
          </w:p>
        </w:tc>
        <w:tc>
          <w:tcPr>
            <w:tcW w:w="3251"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11.9 ± 5.23</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236"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51"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10.2 ± 4.59</w:t>
            </w:r>
          </w:p>
        </w:tc>
        <w:tc>
          <w:tcPr>
            <w:tcW w:w="299"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90"/>
        </w:trPr>
        <w:tc>
          <w:tcPr>
            <w:tcW w:w="2788" w:type="dxa"/>
            <w:vMerge/>
            <w:tcBorders>
              <w:left w:val="single" w:sz="4" w:space="0" w:color="auto"/>
              <w:bottom w:val="single" w:sz="4" w:space="0" w:color="000000"/>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97" w:type="dxa"/>
            <w:tcBorders>
              <w:top w:val="nil"/>
              <w:left w:val="single" w:sz="4" w:space="0" w:color="auto"/>
              <w:bottom w:val="single" w:sz="4" w:space="0" w:color="auto"/>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6487" w:type="dxa"/>
            <w:gridSpan w:val="2"/>
            <w:tcBorders>
              <w:top w:val="nil"/>
              <w:left w:val="nil"/>
              <w:bottom w:val="single" w:sz="4" w:space="0" w:color="auto"/>
              <w:right w:val="nil"/>
            </w:tcBorders>
            <w:shd w:val="clear" w:color="auto" w:fill="auto"/>
            <w:vAlign w:val="center"/>
          </w:tcPr>
          <w:p w:rsidR="007326EC" w:rsidRPr="00B64325" w:rsidRDefault="007326EC">
            <w:pPr>
              <w:widowControl/>
              <w:jc w:val="righ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（平均値±標準偏差，ｎ＝5）</w:t>
            </w:r>
          </w:p>
        </w:tc>
        <w:tc>
          <w:tcPr>
            <w:tcW w:w="299" w:type="dxa"/>
            <w:tcBorders>
              <w:top w:val="nil"/>
              <w:left w:val="nil"/>
              <w:bottom w:val="single" w:sz="4" w:space="0" w:color="auto"/>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271"/>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備考</w:t>
            </w:r>
          </w:p>
        </w:tc>
        <w:tc>
          <w:tcPr>
            <w:tcW w:w="7083" w:type="dxa"/>
            <w:gridSpan w:val="4"/>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260"/>
        </w:trPr>
        <w:tc>
          <w:tcPr>
            <w:tcW w:w="9871" w:type="dxa"/>
            <w:gridSpan w:val="5"/>
            <w:tcBorders>
              <w:top w:val="nil"/>
              <w:left w:val="nil"/>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trPr>
          <w:trHeight w:val="332"/>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保険薬局名・連絡先等</w:t>
            </w:r>
          </w:p>
        </w:tc>
        <w:tc>
          <w:tcPr>
            <w:tcW w:w="7083" w:type="dxa"/>
            <w:gridSpan w:val="4"/>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bl>
    <w:p w:rsidR="007326EC" w:rsidRDefault="007326EC">
      <w:pPr>
        <w:tabs>
          <w:tab w:val="left" w:pos="7380"/>
        </w:tabs>
        <w:ind w:right="123"/>
        <w:rPr>
          <w:rFonts w:ascii="ＭＳ Ｐゴシック" w:eastAsia="ＭＳ Ｐゴシック" w:hAnsi="ＭＳ Ｐゴシック"/>
          <w:sz w:val="22"/>
          <w:szCs w:val="22"/>
        </w:rPr>
      </w:pPr>
    </w:p>
    <w:p w:rsidR="007326EC" w:rsidRPr="00214705" w:rsidRDefault="007326EC" w:rsidP="00E26A12">
      <w:pPr>
        <w:tabs>
          <w:tab w:val="left" w:pos="7380"/>
        </w:tabs>
        <w:ind w:right="-286"/>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E26A12">
        <w:rPr>
          <w:rFonts w:ascii="ＭＳ Ｐゴシック" w:eastAsia="ＭＳ Ｐゴシック" w:hAnsi="ＭＳ Ｐゴシック" w:hint="eastAsia"/>
          <w:sz w:val="22"/>
          <w:szCs w:val="22"/>
        </w:rPr>
        <w:t>202</w:t>
      </w:r>
      <w:r w:rsidR="00BD70AA">
        <w:rPr>
          <w:rFonts w:ascii="ＭＳ Ｐゴシック" w:eastAsia="ＭＳ Ｐゴシック" w:hAnsi="ＭＳ Ｐゴシック" w:hint="eastAsia"/>
          <w:sz w:val="22"/>
          <w:szCs w:val="22"/>
        </w:rPr>
        <w:t>1</w:t>
      </w:r>
      <w:r w:rsidRPr="00C77957">
        <w:rPr>
          <w:rFonts w:ascii="ＭＳ Ｐゴシック" w:eastAsia="ＭＳ Ｐゴシック" w:hAnsi="ＭＳ Ｐゴシック" w:hint="eastAsia"/>
          <w:sz w:val="22"/>
          <w:szCs w:val="22"/>
        </w:rPr>
        <w:t>年</w:t>
      </w:r>
      <w:r w:rsidR="00E26A12">
        <w:rPr>
          <w:rFonts w:ascii="ＭＳ Ｐゴシック" w:eastAsia="ＭＳ Ｐゴシック" w:hAnsi="ＭＳ Ｐゴシック" w:hint="eastAsia"/>
          <w:sz w:val="22"/>
          <w:szCs w:val="22"/>
        </w:rPr>
        <w:t>4</w:t>
      </w:r>
      <w:r w:rsidRPr="00C77957">
        <w:rPr>
          <w:rFonts w:ascii="ＭＳ Ｐゴシック" w:eastAsia="ＭＳ Ｐゴシック" w:hAnsi="ＭＳ Ｐゴシック" w:hint="eastAsia"/>
          <w:sz w:val="22"/>
          <w:szCs w:val="22"/>
        </w:rPr>
        <w:t>月</w:t>
      </w:r>
    </w:p>
    <w:sectPr w:rsidR="007326EC" w:rsidRPr="00214705" w:rsidSect="000723DC">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5F" w:rsidRDefault="0016635F">
      <w:r>
        <w:separator/>
      </w:r>
    </w:p>
  </w:endnote>
  <w:endnote w:type="continuationSeparator" w:id="0">
    <w:p w:rsidR="0016635F" w:rsidRDefault="0016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EC" w:rsidRDefault="007326EC">
    <w:pPr>
      <w:pStyle w:val="a4"/>
      <w:jc w:val="center"/>
    </w:pPr>
    <w:r>
      <w:rPr>
        <w:rStyle w:val="a5"/>
      </w:rPr>
      <w:fldChar w:fldCharType="begin"/>
    </w:r>
    <w:r>
      <w:rPr>
        <w:rStyle w:val="a5"/>
      </w:rPr>
      <w:instrText xml:space="preserve"> PAGE </w:instrText>
    </w:r>
    <w:r>
      <w:rPr>
        <w:rStyle w:val="a5"/>
      </w:rPr>
      <w:fldChar w:fldCharType="separate"/>
    </w:r>
    <w:r w:rsidR="00C83DDF">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C83DDF">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5F" w:rsidRDefault="0016635F">
      <w:r>
        <w:separator/>
      </w:r>
    </w:p>
  </w:footnote>
  <w:footnote w:type="continuationSeparator" w:id="0">
    <w:p w:rsidR="0016635F" w:rsidRDefault="0016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EC" w:rsidRPr="00296EB6" w:rsidRDefault="007326EC">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オドメール</w:t>
    </w:r>
    <w:r w:rsidRPr="00296EB6">
      <w:rPr>
        <w:rFonts w:ascii="ＭＳ Ｐゴシック" w:eastAsia="ＭＳ Ｐゴシック" w:hAnsi="ＭＳ Ｐゴシック" w:hint="eastAsia"/>
        <w:sz w:val="24"/>
        <w:szCs w:val="24"/>
      </w:rPr>
      <w:t>点眼液0.</w:t>
    </w:r>
    <w:r>
      <w:rPr>
        <w:rFonts w:ascii="ＭＳ Ｐゴシック" w:eastAsia="ＭＳ Ｐゴシック" w:hAnsi="ＭＳ Ｐゴシック" w:hint="eastAsia"/>
        <w:sz w:val="24"/>
        <w:szCs w:val="24"/>
      </w:rPr>
      <w:t>05％</w:t>
    </w:r>
    <w:r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7D"/>
    <w:rsid w:val="000723DC"/>
    <w:rsid w:val="0016635F"/>
    <w:rsid w:val="00186904"/>
    <w:rsid w:val="00214705"/>
    <w:rsid w:val="0024771D"/>
    <w:rsid w:val="004E5BF9"/>
    <w:rsid w:val="005B7D66"/>
    <w:rsid w:val="007326EC"/>
    <w:rsid w:val="00993E7D"/>
    <w:rsid w:val="00A25C0A"/>
    <w:rsid w:val="00A3165E"/>
    <w:rsid w:val="00B421ED"/>
    <w:rsid w:val="00BD70AA"/>
    <w:rsid w:val="00C77957"/>
    <w:rsid w:val="00C83DDF"/>
    <w:rsid w:val="00E26A12"/>
    <w:rsid w:val="00FA5E68"/>
    <w:rsid w:val="00FB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9B02BE"/>
  <w15:docId w15:val="{5A88EFEF-8BC3-457A-BEC3-EAD2DEBE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 w:id="1136682131">
      <w:bodyDiv w:val="1"/>
      <w:marLeft w:val="0"/>
      <w:marRight w:val="0"/>
      <w:marTop w:val="0"/>
      <w:marBottom w:val="0"/>
      <w:divBdr>
        <w:top w:val="none" w:sz="0" w:space="0" w:color="auto"/>
        <w:left w:val="none" w:sz="0" w:space="0" w:color="auto"/>
        <w:bottom w:val="none" w:sz="0" w:space="0" w:color="auto"/>
        <w:right w:val="none" w:sz="0" w:space="0" w:color="auto"/>
      </w:divBdr>
    </w:div>
    <w:div w:id="17294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431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30190200:木田敏昭S</cp:lastModifiedBy>
  <cp:revision>3</cp:revision>
  <cp:lastPrinted>2008-06-10T06:30:00Z</cp:lastPrinted>
  <dcterms:created xsi:type="dcterms:W3CDTF">2021-03-05T03:12:00Z</dcterms:created>
  <dcterms:modified xsi:type="dcterms:W3CDTF">2021-03-09T06:32:00Z</dcterms:modified>
</cp:coreProperties>
</file>